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sz w:val="72"/>
          <w:szCs w:val="72"/>
          <w:lang w:val="en-US" w:eastAsia="zh-CN"/>
        </w:rPr>
      </w:pPr>
    </w:p>
    <w:p>
      <w:pPr>
        <w:jc w:val="both"/>
        <w:rPr>
          <w:rFonts w:hint="eastAsia" w:ascii="宋体" w:hAnsi="宋体" w:eastAsia="宋体" w:cs="宋体"/>
          <w:sz w:val="72"/>
          <w:szCs w:val="72"/>
          <w:lang w:val="en-US" w:eastAsia="zh-CN"/>
        </w:rPr>
      </w:pPr>
    </w:p>
    <w:p>
      <w:pPr>
        <w:ind w:firstLine="1440" w:firstLineChars="200"/>
        <w:jc w:val="both"/>
        <w:rPr>
          <w:rFonts w:hint="eastAsia" w:ascii="宋体" w:hAnsi="宋体" w:eastAsia="宋体" w:cs="宋体"/>
          <w:sz w:val="72"/>
          <w:szCs w:val="72"/>
          <w:lang w:val="en-US" w:eastAsia="zh-CN"/>
        </w:rPr>
      </w:pPr>
      <w:r>
        <w:rPr>
          <w:rFonts w:hint="eastAsia" w:ascii="宋体" w:hAnsi="宋体" w:eastAsia="宋体" w:cs="宋体"/>
          <w:sz w:val="72"/>
          <w:szCs w:val="72"/>
          <w:lang w:val="en-US" w:eastAsia="zh-CN"/>
        </w:rPr>
        <w:t>企业环境报告书</w:t>
      </w:r>
    </w:p>
    <w:p>
      <w:pPr>
        <w:ind w:firstLine="2400" w:firstLineChars="500"/>
        <w:jc w:val="left"/>
        <w:rPr>
          <w:rFonts w:hint="eastAsia" w:ascii="宋体" w:hAnsi="宋体" w:eastAsia="宋体" w:cs="宋体"/>
          <w:sz w:val="48"/>
          <w:szCs w:val="48"/>
          <w:lang w:val="en-US" w:eastAsia="zh-CN"/>
        </w:rPr>
      </w:pPr>
      <w:r>
        <w:rPr>
          <w:rFonts w:hint="eastAsia" w:ascii="宋体" w:hAnsi="宋体" w:eastAsia="宋体" w:cs="宋体"/>
          <w:sz w:val="48"/>
          <w:szCs w:val="48"/>
          <w:lang w:val="en-US" w:eastAsia="zh-CN"/>
        </w:rPr>
        <w:t>（2019年度）</w:t>
      </w: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2400" w:firstLineChars="500"/>
        <w:jc w:val="left"/>
        <w:rPr>
          <w:rFonts w:hint="eastAsia" w:ascii="宋体" w:hAnsi="宋体" w:eastAsia="宋体" w:cs="宋体"/>
          <w:sz w:val="48"/>
          <w:szCs w:val="48"/>
          <w:lang w:val="en-US" w:eastAsia="zh-CN"/>
        </w:rPr>
      </w:pPr>
    </w:p>
    <w:p>
      <w:pPr>
        <w:ind w:firstLine="1800" w:firstLineChars="500"/>
        <w:jc w:val="right"/>
        <w:rPr>
          <w:rFonts w:hint="eastAsia" w:ascii="宋体" w:hAnsi="宋体" w:eastAsia="宋体" w:cs="宋体"/>
          <w:sz w:val="36"/>
          <w:szCs w:val="36"/>
          <w:lang w:val="en-US" w:eastAsia="zh-CN"/>
        </w:rPr>
      </w:pPr>
    </w:p>
    <w:p>
      <w:pPr>
        <w:ind w:firstLine="1800" w:firstLineChars="500"/>
        <w:jc w:val="right"/>
        <w:rPr>
          <w:rFonts w:hint="eastAsia" w:ascii="宋体" w:hAnsi="宋体" w:eastAsia="宋体" w:cs="宋体"/>
          <w:sz w:val="36"/>
          <w:szCs w:val="36"/>
          <w:lang w:val="en-US" w:eastAsia="zh-CN"/>
        </w:rPr>
      </w:pPr>
    </w:p>
    <w:p>
      <w:pPr>
        <w:ind w:firstLine="1800" w:firstLineChars="500"/>
        <w:jc w:val="right"/>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皖东高科（天长）股份有限公司</w:t>
      </w:r>
    </w:p>
    <w:p>
      <w:pPr>
        <w:ind w:firstLine="1800" w:firstLineChars="500"/>
        <w:jc w:val="right"/>
        <w:rPr>
          <w:rFonts w:hint="default" w:ascii="宋体" w:hAnsi="宋体" w:eastAsia="宋体" w:cs="宋体"/>
          <w:sz w:val="36"/>
          <w:szCs w:val="36"/>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36"/>
          <w:szCs w:val="36"/>
          <w:lang w:val="en-US" w:eastAsia="zh-CN"/>
        </w:rPr>
        <w:t>2020年3月</w:t>
      </w:r>
    </w:p>
    <w:p>
      <w:pPr>
        <w:ind w:firstLine="960" w:firstLineChars="200"/>
        <w:jc w:val="both"/>
        <w:rPr>
          <w:rFonts w:hint="eastAsia" w:ascii="宋体" w:hAnsi="宋体" w:eastAsia="宋体" w:cs="宋体"/>
          <w:sz w:val="44"/>
          <w:szCs w:val="44"/>
        </w:rPr>
      </w:pPr>
      <w:r>
        <w:rPr>
          <w:rFonts w:hint="eastAsia" w:ascii="宋体" w:hAnsi="宋体" w:eastAsia="宋体" w:cs="宋体"/>
          <w:sz w:val="48"/>
          <w:szCs w:val="48"/>
          <w:lang w:val="en-US" w:eastAsia="zh-CN"/>
        </w:rPr>
        <w:t>皖东高科（天长）股份有限公司</w:t>
      </w:r>
      <w:r>
        <w:rPr>
          <w:rFonts w:hint="eastAsia" w:ascii="宋体" w:hAnsi="宋体" w:eastAsia="宋体" w:cs="宋体"/>
          <w:sz w:val="44"/>
          <w:szCs w:val="44"/>
        </w:rPr>
        <w:t> </w:t>
      </w:r>
    </w:p>
    <w:p>
      <w:pPr>
        <w:ind w:firstLine="1320" w:firstLineChars="300"/>
        <w:rPr>
          <w:rFonts w:hint="eastAsia" w:ascii="宋体" w:hAnsi="宋体" w:eastAsia="宋体" w:cs="宋体"/>
          <w:sz w:val="44"/>
          <w:szCs w:val="44"/>
        </w:rPr>
      </w:pPr>
    </w:p>
    <w:p>
      <w:pPr>
        <w:ind w:firstLine="2880" w:firstLineChars="600"/>
        <w:jc w:val="left"/>
        <w:rPr>
          <w:rFonts w:hint="eastAsia" w:ascii="宋体" w:hAnsi="宋体" w:eastAsia="宋体" w:cs="宋体"/>
          <w:sz w:val="48"/>
          <w:szCs w:val="48"/>
        </w:rPr>
      </w:pPr>
      <w:r>
        <w:rPr>
          <w:rFonts w:hint="eastAsia" w:ascii="宋体" w:hAnsi="宋体" w:eastAsia="宋体" w:cs="宋体"/>
          <w:sz w:val="48"/>
          <w:szCs w:val="48"/>
        </w:rPr>
        <w:t>目 录 </w:t>
      </w:r>
    </w:p>
    <w:p>
      <w:pPr>
        <w:ind w:firstLine="2200" w:firstLineChars="500"/>
        <w:jc w:val="left"/>
        <w:rPr>
          <w:rFonts w:hint="eastAsia" w:ascii="宋体" w:hAnsi="宋体" w:eastAsia="宋体" w:cs="宋体"/>
          <w:sz w:val="44"/>
          <w:szCs w:val="44"/>
        </w:rPr>
      </w:pPr>
    </w:p>
    <w:p>
      <w:pPr>
        <w:numPr>
          <w:ilvl w:val="0"/>
          <w:numId w:val="1"/>
        </w:numPr>
        <w:rPr>
          <w:rFonts w:hint="eastAsia" w:ascii="宋体" w:hAnsi="宋体" w:eastAsia="宋体" w:cs="宋体"/>
          <w:b/>
          <w:bCs/>
          <w:sz w:val="32"/>
          <w:szCs w:val="32"/>
        </w:rPr>
      </w:pPr>
      <w:r>
        <w:rPr>
          <w:rFonts w:hint="eastAsia" w:ascii="宋体" w:hAnsi="宋体" w:eastAsia="宋体" w:cs="宋体"/>
          <w:b/>
          <w:bCs/>
          <w:sz w:val="32"/>
          <w:szCs w:val="32"/>
        </w:rPr>
        <w:t>高层致辞 </w:t>
      </w:r>
    </w:p>
    <w:p>
      <w:pPr>
        <w:numPr>
          <w:ilvl w:val="0"/>
          <w:numId w:val="0"/>
        </w:numPr>
        <w:rPr>
          <w:rFonts w:hint="eastAsia" w:ascii="宋体" w:hAnsi="宋体" w:eastAsia="宋体" w:cs="宋体"/>
          <w:b/>
          <w:bCs/>
          <w:sz w:val="32"/>
          <w:szCs w:val="32"/>
        </w:rPr>
      </w:pPr>
      <w:r>
        <w:rPr>
          <w:rFonts w:hint="eastAsia" w:ascii="宋体" w:hAnsi="宋体" w:eastAsia="宋体" w:cs="宋体"/>
          <w:b/>
          <w:bCs/>
          <w:sz w:val="32"/>
          <w:szCs w:val="32"/>
        </w:rPr>
        <w:t>二</w:t>
      </w:r>
      <w:r>
        <w:rPr>
          <w:rFonts w:hint="eastAsia" w:ascii="宋体" w:hAnsi="宋体" w:eastAsia="宋体" w:cs="宋体"/>
          <w:sz w:val="28"/>
          <w:szCs w:val="28"/>
        </w:rPr>
        <w:t>、</w:t>
      </w:r>
      <w:r>
        <w:rPr>
          <w:rFonts w:hint="eastAsia" w:ascii="宋体" w:hAnsi="宋体" w:eastAsia="宋体" w:cs="宋体"/>
          <w:b/>
          <w:bCs/>
          <w:sz w:val="32"/>
          <w:szCs w:val="32"/>
        </w:rPr>
        <w:t>公司概况及编制说明 </w:t>
      </w:r>
    </w:p>
    <w:p>
      <w:pPr>
        <w:numPr>
          <w:ilvl w:val="0"/>
          <w:numId w:val="2"/>
        </w:numPr>
        <w:rPr>
          <w:rFonts w:hint="eastAsia" w:ascii="宋体" w:hAnsi="宋体" w:eastAsia="宋体" w:cs="宋体"/>
          <w:sz w:val="28"/>
          <w:szCs w:val="28"/>
        </w:rPr>
      </w:pPr>
      <w:r>
        <w:rPr>
          <w:rFonts w:hint="eastAsia" w:ascii="宋体" w:hAnsi="宋体" w:eastAsia="宋体" w:cs="宋体"/>
          <w:sz w:val="28"/>
          <w:szCs w:val="28"/>
        </w:rPr>
        <w:t>、公司概括</w:t>
      </w:r>
    </w:p>
    <w:p>
      <w:pPr>
        <w:numPr>
          <w:ilvl w:val="0"/>
          <w:numId w:val="3"/>
        </w:numPr>
        <w:ind w:firstLine="280" w:firstLineChars="100"/>
        <w:rPr>
          <w:rFonts w:hint="eastAsia" w:ascii="宋体" w:hAnsi="宋体" w:eastAsia="宋体" w:cs="宋体"/>
          <w:sz w:val="28"/>
          <w:szCs w:val="28"/>
        </w:rPr>
      </w:pPr>
      <w:r>
        <w:rPr>
          <w:rFonts w:hint="eastAsia" w:ascii="宋体" w:hAnsi="宋体" w:eastAsia="宋体" w:cs="宋体"/>
          <w:sz w:val="28"/>
          <w:szCs w:val="28"/>
        </w:rPr>
        <w:t>公司主要产品及业务情况</w:t>
      </w:r>
    </w:p>
    <w:p>
      <w:pPr>
        <w:numPr>
          <w:ilvl w:val="0"/>
          <w:numId w:val="0"/>
        </w:numPr>
        <w:ind w:firstLine="280" w:firstLineChars="1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公司结构情况 </w:t>
      </w:r>
    </w:p>
    <w:p>
      <w:pPr>
        <w:numPr>
          <w:ilvl w:val="0"/>
          <w:numId w:val="2"/>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、报告编制说明 </w:t>
      </w:r>
    </w:p>
    <w:p>
      <w:pPr>
        <w:numPr>
          <w:ilvl w:val="0"/>
          <w:numId w:val="0"/>
        </w:numPr>
        <w:ind w:firstLine="280" w:firstLineChars="10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 报告涵盖的范围 </w:t>
      </w:r>
    </w:p>
    <w:p>
      <w:pPr>
        <w:numPr>
          <w:ilvl w:val="0"/>
          <w:numId w:val="0"/>
        </w:numPr>
        <w:ind w:firstLine="280" w:firstLineChars="100"/>
        <w:rPr>
          <w:rFonts w:hint="eastAsia" w:ascii="宋体" w:hAnsi="宋体" w:eastAsia="宋体" w:cs="宋体"/>
          <w:sz w:val="28"/>
          <w:szCs w:val="28"/>
        </w:rPr>
      </w:pPr>
      <w:r>
        <w:rPr>
          <w:rFonts w:hint="eastAsia" w:ascii="宋体" w:hAnsi="宋体" w:eastAsia="宋体" w:cs="宋体"/>
          <w:sz w:val="28"/>
          <w:szCs w:val="28"/>
        </w:rPr>
        <w:t>2、 报告时限 </w:t>
      </w:r>
    </w:p>
    <w:p>
      <w:pPr>
        <w:numPr>
          <w:ilvl w:val="0"/>
          <w:numId w:val="0"/>
        </w:numPr>
        <w:ind w:firstLine="280" w:firstLineChars="100"/>
        <w:rPr>
          <w:rFonts w:hint="eastAsia" w:ascii="宋体" w:hAnsi="宋体" w:eastAsia="宋体" w:cs="宋体"/>
          <w:sz w:val="28"/>
          <w:szCs w:val="28"/>
        </w:rPr>
      </w:pPr>
      <w:r>
        <w:rPr>
          <w:rFonts w:hint="eastAsia" w:ascii="宋体" w:hAnsi="宋体" w:eastAsia="宋体" w:cs="宋体"/>
          <w:sz w:val="28"/>
          <w:szCs w:val="28"/>
        </w:rPr>
        <w:t>3、 报告编制依据 </w:t>
      </w:r>
    </w:p>
    <w:p>
      <w:pPr>
        <w:numPr>
          <w:ilvl w:val="0"/>
          <w:numId w:val="0"/>
        </w:numPr>
        <w:ind w:firstLine="280" w:firstLineChars="100"/>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 发布方式 </w:t>
      </w:r>
    </w:p>
    <w:p>
      <w:pPr>
        <w:numPr>
          <w:ilvl w:val="0"/>
          <w:numId w:val="0"/>
        </w:numPr>
        <w:ind w:firstLine="280" w:firstLineChars="100"/>
        <w:rPr>
          <w:rFonts w:hint="eastAsia" w:ascii="宋体" w:hAnsi="宋体" w:eastAsia="宋体" w:cs="宋体"/>
          <w:sz w:val="28"/>
          <w:szCs w:val="28"/>
        </w:rPr>
      </w:pPr>
      <w:r>
        <w:rPr>
          <w:rFonts w:hint="eastAsia" w:ascii="宋体" w:hAnsi="宋体" w:eastAsia="宋体" w:cs="宋体"/>
          <w:sz w:val="28"/>
          <w:szCs w:val="28"/>
        </w:rPr>
        <w:t>5、编制部门及联系方式 </w:t>
      </w:r>
    </w:p>
    <w:p>
      <w:pPr>
        <w:numPr>
          <w:ilvl w:val="0"/>
          <w:numId w:val="0"/>
        </w:numPr>
        <w:rPr>
          <w:rFonts w:hint="eastAsia" w:ascii="宋体" w:hAnsi="宋体" w:eastAsia="宋体" w:cs="宋体"/>
          <w:b/>
          <w:bCs/>
          <w:sz w:val="32"/>
          <w:szCs w:val="32"/>
        </w:rPr>
      </w:pPr>
      <w:r>
        <w:rPr>
          <w:rFonts w:hint="eastAsia" w:ascii="宋体" w:hAnsi="宋体" w:eastAsia="宋体" w:cs="宋体"/>
          <w:b/>
          <w:bCs/>
          <w:sz w:val="32"/>
          <w:szCs w:val="32"/>
        </w:rPr>
        <w:t>三、环保管理情况  </w:t>
      </w:r>
    </w:p>
    <w:p>
      <w:pPr>
        <w:numPr>
          <w:ilvl w:val="0"/>
          <w:numId w:val="0"/>
        </w:numPr>
        <w:rPr>
          <w:rFonts w:hint="eastAsia" w:ascii="宋体" w:hAnsi="宋体" w:eastAsia="宋体" w:cs="宋体"/>
          <w:sz w:val="28"/>
          <w:szCs w:val="28"/>
        </w:rPr>
      </w:pPr>
      <w:r>
        <w:rPr>
          <w:rFonts w:hint="eastAsia" w:ascii="宋体" w:hAnsi="宋体" w:eastAsia="宋体" w:cs="宋体"/>
          <w:sz w:val="28"/>
          <w:szCs w:val="28"/>
        </w:rPr>
        <w:t> （一）、环境管理体制及措施          </w:t>
      </w:r>
    </w:p>
    <w:p>
      <w:pPr>
        <w:numPr>
          <w:numId w:val="0"/>
        </w:numPr>
        <w:ind w:firstLine="280" w:firstLineChars="10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环境管理体制和制度</w:t>
      </w:r>
    </w:p>
    <w:p>
      <w:pPr>
        <w:numPr>
          <w:numId w:val="0"/>
        </w:numPr>
        <w:ind w:firstLine="280" w:firstLineChars="1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开展环保相关教育及培训情况 </w:t>
      </w:r>
    </w:p>
    <w:p>
      <w:pPr>
        <w:numPr>
          <w:ilvl w:val="0"/>
          <w:numId w:val="0"/>
        </w:numPr>
        <w:rPr>
          <w:rFonts w:hint="eastAsia" w:ascii="宋体" w:hAnsi="宋体" w:eastAsia="宋体" w:cs="宋体"/>
          <w:sz w:val="28"/>
          <w:szCs w:val="28"/>
        </w:rPr>
      </w:pPr>
      <w:r>
        <w:rPr>
          <w:rFonts w:hint="eastAsia" w:ascii="宋体" w:hAnsi="宋体" w:eastAsia="宋体" w:cs="宋体"/>
          <w:sz w:val="28"/>
          <w:szCs w:val="28"/>
        </w:rPr>
        <w:t>（二）、环境信息公开及交流情况</w:t>
      </w:r>
    </w:p>
    <w:p>
      <w:pPr>
        <w:numPr>
          <w:ilvl w:val="0"/>
          <w:numId w:val="0"/>
        </w:numPr>
        <w:ind w:left="0" w:leftChars="0" w:firstLine="280" w:firstLineChars="100"/>
        <w:rPr>
          <w:rFonts w:hint="eastAsia" w:ascii="宋体" w:hAnsi="宋体" w:eastAsia="宋体" w:cs="宋体"/>
          <w:sz w:val="28"/>
          <w:szCs w:val="28"/>
        </w:rPr>
      </w:pPr>
      <w:r>
        <w:rPr>
          <w:rFonts w:hint="eastAsia" w:ascii="宋体" w:hAnsi="宋体" w:eastAsia="宋体" w:cs="宋体"/>
          <w:sz w:val="28"/>
          <w:szCs w:val="28"/>
        </w:rPr>
        <w:t> </w:t>
      </w:r>
      <w:r>
        <w:rPr>
          <w:rFonts w:hint="eastAsia" w:ascii="宋体" w:hAnsi="宋体" w:eastAsia="宋体" w:cs="宋体"/>
          <w:sz w:val="28"/>
          <w:szCs w:val="28"/>
          <w:lang w:val="en-US" w:eastAsia="zh-CN"/>
        </w:rPr>
        <w:t>1、</w:t>
      </w:r>
      <w:r>
        <w:rPr>
          <w:rFonts w:hint="eastAsia" w:ascii="宋体" w:hAnsi="宋体" w:eastAsia="宋体" w:cs="宋体"/>
          <w:sz w:val="28"/>
          <w:szCs w:val="28"/>
        </w:rPr>
        <w:t>环境信息公开方式</w:t>
      </w:r>
    </w:p>
    <w:p>
      <w:pPr>
        <w:numPr>
          <w:ilvl w:val="0"/>
          <w:numId w:val="0"/>
        </w:numPr>
        <w:ind w:firstLine="280" w:firstLineChars="1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与利益相关者进行环境信息交流情况 </w:t>
      </w:r>
    </w:p>
    <w:p>
      <w:pPr>
        <w:numPr>
          <w:ilvl w:val="0"/>
          <w:numId w:val="0"/>
        </w:numPr>
        <w:rPr>
          <w:rFonts w:hint="eastAsia" w:ascii="宋体" w:hAnsi="宋体" w:eastAsia="宋体" w:cs="宋体"/>
          <w:sz w:val="28"/>
          <w:szCs w:val="28"/>
        </w:rPr>
      </w:pPr>
      <w:r>
        <w:rPr>
          <w:rFonts w:hint="eastAsia" w:ascii="宋体" w:hAnsi="宋体" w:eastAsia="宋体" w:cs="宋体"/>
          <w:sz w:val="28"/>
          <w:szCs w:val="28"/>
        </w:rPr>
        <w:t> 3、公众对企业环境信息公开的评价  </w:t>
      </w:r>
    </w:p>
    <w:p>
      <w:pPr>
        <w:numPr>
          <w:ilvl w:val="0"/>
          <w:numId w:val="2"/>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、相关法律法规执行情况</w:t>
      </w:r>
    </w:p>
    <w:p>
      <w:pPr>
        <w:numPr>
          <w:ilvl w:val="0"/>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1、未发生重大污染事故及存在的环境违法行为情况</w:t>
      </w:r>
    </w:p>
    <w:p>
      <w:pPr>
        <w:numPr>
          <w:ilvl w:val="0"/>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2、环境检测及评价</w:t>
      </w:r>
    </w:p>
    <w:p>
      <w:pPr>
        <w:numPr>
          <w:ilvl w:val="0"/>
          <w:numId w:val="0"/>
        </w:numPr>
        <w:rPr>
          <w:rFonts w:hint="eastAsia" w:ascii="宋体" w:hAnsi="宋体" w:eastAsia="宋体" w:cs="宋体"/>
          <w:sz w:val="28"/>
          <w:szCs w:val="28"/>
        </w:rPr>
      </w:pPr>
      <w:r>
        <w:rPr>
          <w:rFonts w:hint="eastAsia" w:ascii="宋体" w:hAnsi="宋体" w:eastAsia="宋体" w:cs="宋体"/>
          <w:sz w:val="28"/>
          <w:szCs w:val="28"/>
        </w:rPr>
        <w:t> 3、环境突发事件应急预案及应急处理措施</w:t>
      </w:r>
    </w:p>
    <w:p>
      <w:pPr>
        <w:numPr>
          <w:ilvl w:val="0"/>
          <w:numId w:val="0"/>
        </w:numPr>
        <w:rPr>
          <w:rFonts w:hint="eastAsia" w:ascii="宋体" w:hAnsi="宋体" w:eastAsia="宋体" w:cs="宋体"/>
          <w:b/>
          <w:bCs/>
          <w:sz w:val="32"/>
          <w:szCs w:val="32"/>
        </w:rPr>
      </w:pPr>
      <w:r>
        <w:rPr>
          <w:rFonts w:hint="eastAsia" w:ascii="宋体" w:hAnsi="宋体" w:eastAsia="宋体" w:cs="宋体"/>
          <w:b/>
          <w:bCs/>
          <w:sz w:val="32"/>
          <w:szCs w:val="32"/>
        </w:rPr>
        <w:t>四、环保目标    </w:t>
      </w:r>
    </w:p>
    <w:p>
      <w:pPr>
        <w:numPr>
          <w:ilvl w:val="0"/>
          <w:numId w:val="4"/>
        </w:numPr>
        <w:ind w:leftChars="0"/>
        <w:rPr>
          <w:rFonts w:hint="eastAsia" w:ascii="宋体" w:hAnsi="宋体" w:eastAsia="宋体" w:cs="宋体"/>
          <w:sz w:val="28"/>
          <w:szCs w:val="28"/>
        </w:rPr>
      </w:pPr>
      <w:r>
        <w:rPr>
          <w:rFonts w:hint="eastAsia" w:ascii="宋体" w:hAnsi="宋体" w:eastAsia="宋体" w:cs="宋体"/>
          <w:sz w:val="28"/>
          <w:szCs w:val="28"/>
        </w:rPr>
        <w:t>污染物达标排放情况   </w:t>
      </w:r>
    </w:p>
    <w:p>
      <w:pPr>
        <w:numPr>
          <w:ilvl w:val="0"/>
          <w:numId w:val="4"/>
        </w:numPr>
        <w:ind w:leftChars="0"/>
        <w:rPr>
          <w:rFonts w:hint="eastAsia" w:ascii="宋体" w:hAnsi="宋体" w:eastAsia="宋体" w:cs="宋体"/>
          <w:sz w:val="28"/>
          <w:szCs w:val="28"/>
        </w:rPr>
      </w:pPr>
      <w:r>
        <w:rPr>
          <w:rFonts w:hint="eastAsia" w:ascii="宋体" w:hAnsi="宋体" w:eastAsia="宋体" w:cs="宋体"/>
          <w:sz w:val="28"/>
          <w:szCs w:val="28"/>
        </w:rPr>
        <w:t>固体废物处置情况    </w:t>
      </w:r>
    </w:p>
    <w:p>
      <w:pPr>
        <w:numPr>
          <w:ilvl w:val="0"/>
          <w:numId w:val="4"/>
        </w:numPr>
        <w:ind w:leftChars="0"/>
        <w:rPr>
          <w:rFonts w:hint="eastAsia" w:ascii="宋体" w:hAnsi="宋体" w:eastAsia="宋体" w:cs="宋体"/>
          <w:sz w:val="28"/>
          <w:szCs w:val="28"/>
        </w:rPr>
      </w:pPr>
      <w:r>
        <w:rPr>
          <w:rFonts w:hint="eastAsia" w:ascii="宋体" w:hAnsi="宋体" w:eastAsia="宋体" w:cs="宋体"/>
          <w:sz w:val="28"/>
          <w:szCs w:val="28"/>
        </w:rPr>
        <w:t>总量减排任务完成情况     </w:t>
      </w:r>
    </w:p>
    <w:p>
      <w:pPr>
        <w:numPr>
          <w:ilvl w:val="0"/>
          <w:numId w:val="4"/>
        </w:numPr>
        <w:ind w:leftChars="0"/>
        <w:rPr>
          <w:rFonts w:hint="eastAsia" w:ascii="宋体" w:hAnsi="宋体" w:eastAsia="宋体" w:cs="宋体"/>
          <w:sz w:val="28"/>
          <w:szCs w:val="28"/>
        </w:rPr>
      </w:pPr>
      <w:r>
        <w:rPr>
          <w:rFonts w:hint="eastAsia" w:ascii="宋体" w:hAnsi="宋体" w:eastAsia="宋体" w:cs="宋体"/>
          <w:sz w:val="28"/>
          <w:szCs w:val="28"/>
        </w:rPr>
        <w:t>排污申报情况  </w:t>
      </w:r>
    </w:p>
    <w:p>
      <w:pPr>
        <w:numPr>
          <w:ilvl w:val="0"/>
          <w:numId w:val="4"/>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厂界噪声污染状况及主要控制措施</w:t>
      </w:r>
    </w:p>
    <w:p>
      <w:pPr>
        <w:numPr>
          <w:ilvl w:val="0"/>
          <w:numId w:val="0"/>
        </w:numPr>
        <w:rPr>
          <w:rFonts w:hint="eastAsia" w:ascii="宋体" w:hAnsi="宋体" w:eastAsia="宋体" w:cs="宋体"/>
          <w:b/>
          <w:bCs/>
          <w:sz w:val="32"/>
          <w:szCs w:val="32"/>
        </w:rPr>
      </w:pPr>
      <w:r>
        <w:rPr>
          <w:rFonts w:hint="eastAsia" w:ascii="宋体" w:hAnsi="宋体" w:eastAsia="宋体" w:cs="宋体"/>
          <w:b/>
          <w:bCs/>
          <w:sz w:val="32"/>
          <w:szCs w:val="32"/>
          <w:lang w:val="en-US" w:eastAsia="zh-CN"/>
        </w:rPr>
        <w:t>五、</w:t>
      </w:r>
      <w:r>
        <w:rPr>
          <w:rFonts w:hint="eastAsia" w:ascii="宋体" w:hAnsi="宋体" w:eastAsia="宋体" w:cs="宋体"/>
          <w:b/>
          <w:bCs/>
          <w:sz w:val="32"/>
          <w:szCs w:val="32"/>
        </w:rPr>
        <w:t>降低环境负荷的措施及绩效 </w:t>
      </w:r>
    </w:p>
    <w:p>
      <w:pPr>
        <w:numPr>
          <w:ilvl w:val="0"/>
          <w:numId w:val="0"/>
        </w:numPr>
        <w:rPr>
          <w:rFonts w:hint="eastAsia" w:ascii="宋体" w:hAnsi="宋体" w:eastAsia="宋体" w:cs="宋体"/>
          <w:b/>
          <w:bCs/>
          <w:sz w:val="32"/>
          <w:szCs w:val="32"/>
        </w:rPr>
      </w:pPr>
      <w:r>
        <w:rPr>
          <w:rFonts w:hint="eastAsia" w:ascii="宋体" w:hAnsi="宋体" w:eastAsia="宋体" w:cs="宋体"/>
          <w:b/>
          <w:bCs/>
          <w:sz w:val="32"/>
          <w:szCs w:val="32"/>
          <w:lang w:val="en-US" w:eastAsia="zh-CN"/>
        </w:rPr>
        <w:t>六、</w:t>
      </w:r>
      <w:r>
        <w:rPr>
          <w:rFonts w:hint="eastAsia" w:ascii="宋体" w:hAnsi="宋体" w:eastAsia="宋体" w:cs="宋体"/>
          <w:b/>
          <w:bCs/>
          <w:sz w:val="32"/>
          <w:szCs w:val="32"/>
        </w:rPr>
        <w:t>总结</w:t>
      </w:r>
    </w:p>
    <w:p>
      <w:pPr>
        <w:widowControl w:val="0"/>
        <w:numPr>
          <w:ilvl w:val="0"/>
          <w:numId w:val="0"/>
        </w:numPr>
        <w:jc w:val="both"/>
        <w:rPr>
          <w:rFonts w:hint="eastAsia" w:ascii="宋体" w:hAnsi="宋体" w:eastAsia="宋体" w:cs="宋体"/>
          <w:sz w:val="28"/>
          <w:szCs w:val="28"/>
        </w:rPr>
      </w:pPr>
    </w:p>
    <w:p>
      <w:pPr>
        <w:widowControl w:val="0"/>
        <w:numPr>
          <w:ilvl w:val="0"/>
          <w:numId w:val="0"/>
        </w:numPr>
        <w:jc w:val="both"/>
        <w:rPr>
          <w:rFonts w:hint="eastAsia" w:ascii="宋体" w:hAnsi="宋体" w:eastAsia="宋体" w:cs="宋体"/>
          <w:sz w:val="28"/>
          <w:szCs w:val="28"/>
        </w:rPr>
      </w:pPr>
    </w:p>
    <w:p>
      <w:pPr>
        <w:widowControl w:val="0"/>
        <w:numPr>
          <w:ilvl w:val="0"/>
          <w:numId w:val="0"/>
        </w:numPr>
        <w:jc w:val="both"/>
        <w:rPr>
          <w:rFonts w:hint="eastAsia" w:ascii="宋体" w:hAnsi="宋体" w:eastAsia="宋体" w:cs="宋体"/>
          <w:sz w:val="28"/>
          <w:szCs w:val="28"/>
        </w:rPr>
      </w:pPr>
    </w:p>
    <w:p>
      <w:pPr>
        <w:widowControl w:val="0"/>
        <w:numPr>
          <w:ilvl w:val="0"/>
          <w:numId w:val="0"/>
        </w:numPr>
        <w:jc w:val="both"/>
        <w:rPr>
          <w:rFonts w:hint="eastAsia" w:ascii="宋体" w:hAnsi="宋体" w:eastAsia="宋体" w:cs="宋体"/>
          <w:sz w:val="28"/>
          <w:szCs w:val="28"/>
        </w:rPr>
      </w:pPr>
    </w:p>
    <w:p>
      <w:pPr>
        <w:widowControl w:val="0"/>
        <w:numPr>
          <w:ilvl w:val="0"/>
          <w:numId w:val="0"/>
        </w:numPr>
        <w:jc w:val="both"/>
        <w:rPr>
          <w:rFonts w:hint="eastAsia" w:ascii="宋体" w:hAnsi="宋体" w:eastAsia="宋体" w:cs="宋体"/>
          <w:sz w:val="28"/>
          <w:szCs w:val="28"/>
        </w:rPr>
      </w:pPr>
    </w:p>
    <w:p>
      <w:pPr>
        <w:widowControl w:val="0"/>
        <w:numPr>
          <w:ilvl w:val="0"/>
          <w:numId w:val="0"/>
        </w:numPr>
        <w:jc w:val="both"/>
        <w:rPr>
          <w:rFonts w:hint="eastAsia" w:ascii="宋体" w:hAnsi="宋体" w:eastAsia="宋体" w:cs="宋体"/>
          <w:sz w:val="28"/>
          <w:szCs w:val="28"/>
        </w:rPr>
      </w:pPr>
    </w:p>
    <w:p>
      <w:pPr>
        <w:widowControl w:val="0"/>
        <w:numPr>
          <w:ilvl w:val="0"/>
          <w:numId w:val="0"/>
        </w:numPr>
        <w:jc w:val="both"/>
        <w:rPr>
          <w:rFonts w:hint="eastAsia" w:ascii="宋体" w:hAnsi="宋体" w:eastAsia="宋体" w:cs="宋体"/>
          <w:sz w:val="28"/>
          <w:szCs w:val="28"/>
        </w:rPr>
      </w:pPr>
    </w:p>
    <w:p>
      <w:pPr>
        <w:widowControl w:val="0"/>
        <w:numPr>
          <w:ilvl w:val="0"/>
          <w:numId w:val="0"/>
        </w:numPr>
        <w:jc w:val="both"/>
        <w:rPr>
          <w:rFonts w:hint="eastAsia" w:ascii="宋体" w:hAnsi="宋体" w:eastAsia="宋体" w:cs="宋体"/>
          <w:sz w:val="28"/>
          <w:szCs w:val="28"/>
        </w:rPr>
      </w:pPr>
    </w:p>
    <w:p>
      <w:pPr>
        <w:widowControl w:val="0"/>
        <w:numPr>
          <w:ilvl w:val="0"/>
          <w:numId w:val="0"/>
        </w:numPr>
        <w:jc w:val="both"/>
        <w:rPr>
          <w:rFonts w:hint="eastAsia" w:ascii="宋体" w:hAnsi="宋体" w:eastAsia="宋体" w:cs="宋体"/>
          <w:sz w:val="28"/>
          <w:szCs w:val="28"/>
        </w:rPr>
      </w:pPr>
    </w:p>
    <w:p>
      <w:pPr>
        <w:widowControl w:val="0"/>
        <w:numPr>
          <w:ilvl w:val="0"/>
          <w:numId w:val="5"/>
        </w:numPr>
        <w:jc w:val="both"/>
        <w:rPr>
          <w:rFonts w:hint="eastAsia" w:ascii="宋体" w:hAnsi="宋体" w:eastAsia="宋体" w:cs="宋体"/>
          <w:b/>
          <w:bCs/>
          <w:sz w:val="32"/>
          <w:szCs w:val="32"/>
        </w:rPr>
      </w:pPr>
      <w:r>
        <w:rPr>
          <w:rFonts w:hint="eastAsia" w:ascii="宋体" w:hAnsi="宋体" w:eastAsia="宋体" w:cs="宋体"/>
          <w:b/>
          <w:bCs/>
          <w:sz w:val="32"/>
          <w:szCs w:val="32"/>
        </w:rPr>
        <w:t>高层致辞</w:t>
      </w:r>
    </w:p>
    <w:p>
      <w:pPr>
        <w:widowControl w:val="0"/>
        <w:numPr>
          <w:ilvl w:val="0"/>
          <w:numId w:val="0"/>
        </w:numPr>
        <w:ind w:firstLine="280" w:firstLineChars="100"/>
        <w:jc w:val="both"/>
        <w:rPr>
          <w:rFonts w:hint="eastAsia" w:ascii="宋体" w:hAnsi="宋体" w:eastAsia="宋体" w:cs="宋体"/>
          <w:sz w:val="28"/>
          <w:szCs w:val="28"/>
        </w:rPr>
      </w:pPr>
      <w:r>
        <w:rPr>
          <w:rFonts w:hint="eastAsia" w:ascii="宋体" w:hAnsi="宋体" w:eastAsia="宋体" w:cs="宋体"/>
          <w:sz w:val="28"/>
          <w:szCs w:val="28"/>
        </w:rPr>
        <w:t> 环境保护是我国的基本国策。随着社会经济的快速发展，面对全球气候变暖、大气及水体与海洋污染、自然资源及生态环境污染影响等等，环境问题已成为制约人类生存和发展的重大问题。企业作为社会发展的主动力，环境资源的主要消耗者与环境污染源的主要产生者，应义不容辞的担当起推进生态文明建设，发展绿色经济的历史责任。保护环境,实现生产、生活和生态的良性循环,是每个企业应尽的社会责任。为此，公司致力于通过各种方式减少生产过程对资源的消耗、对环境的污染, 始终坚持“安全第一、达标排放、防消结合、综合治理”的发展模式，积极履行作为绿色发展的理念。着力进行节能减排技术创新、夯实环保管理基础。矚慫润厲钐瘗睞枥。 我公司坚持用科学发展观统领企业运营，一方面不断推进工艺改造，从源头上实现节能减排；另一方面不断强化企业环境管理体系的健全和完善，促进企业环境管理的科学化、制度化建设。 201</w:t>
      </w:r>
      <w:r>
        <w:rPr>
          <w:rFonts w:hint="eastAsia" w:ascii="宋体" w:hAnsi="宋体" w:eastAsia="宋体" w:cs="宋体"/>
          <w:sz w:val="28"/>
          <w:szCs w:val="28"/>
          <w:lang w:val="en-US" w:eastAsia="zh-CN"/>
        </w:rPr>
        <w:t>9</w:t>
      </w:r>
      <w:r>
        <w:rPr>
          <w:rFonts w:hint="eastAsia" w:ascii="宋体" w:hAnsi="宋体" w:eastAsia="宋体" w:cs="宋体"/>
          <w:sz w:val="28"/>
          <w:szCs w:val="28"/>
        </w:rPr>
        <w:t>年，我们进一步完善了公司多项环境管理制度，通过组织各种形式的宣传和培训活动，不断强化全体员工环保意识，将企业“做好环境保护事关企业的生死存亡”的重要理念融入到公司每位员工的思想和行动之中。 残骛楼諍锩瀨濟溆。 依据国家环保部《企业环境报告书编制导则》（HJ617-2011）的相关要求，我公司组织编制了《</w:t>
      </w:r>
      <w:r>
        <w:rPr>
          <w:rFonts w:hint="eastAsia" w:ascii="宋体" w:hAnsi="宋体" w:eastAsia="宋体" w:cs="宋体"/>
          <w:sz w:val="28"/>
          <w:szCs w:val="28"/>
          <w:lang w:val="en-US" w:eastAsia="zh-CN"/>
        </w:rPr>
        <w:t>皖东高科（天长）股份有限公司</w:t>
      </w:r>
      <w:r>
        <w:rPr>
          <w:rFonts w:hint="eastAsia" w:ascii="宋体" w:hAnsi="宋体" w:eastAsia="宋体" w:cs="宋体"/>
          <w:sz w:val="28"/>
          <w:szCs w:val="28"/>
        </w:rPr>
        <w:t>201</w:t>
      </w:r>
      <w:r>
        <w:rPr>
          <w:rFonts w:hint="eastAsia" w:ascii="宋体" w:hAnsi="宋体" w:eastAsia="宋体" w:cs="宋体"/>
          <w:sz w:val="28"/>
          <w:szCs w:val="28"/>
          <w:lang w:val="en-US" w:eastAsia="zh-CN"/>
        </w:rPr>
        <w:t>9</w:t>
      </w:r>
      <w:r>
        <w:rPr>
          <w:rFonts w:hint="eastAsia" w:ascii="宋体" w:hAnsi="宋体" w:eastAsia="宋体" w:cs="宋体"/>
          <w:sz w:val="28"/>
          <w:szCs w:val="28"/>
        </w:rPr>
        <w:t>年环境报告书》，我们希望通过201</w:t>
      </w:r>
      <w:r>
        <w:rPr>
          <w:rFonts w:hint="eastAsia" w:ascii="宋体" w:hAnsi="宋体" w:eastAsia="宋体" w:cs="宋体"/>
          <w:sz w:val="28"/>
          <w:szCs w:val="28"/>
          <w:lang w:val="en-US" w:eastAsia="zh-CN"/>
        </w:rPr>
        <w:t>9</w:t>
      </w:r>
      <w:r>
        <w:rPr>
          <w:rFonts w:hint="eastAsia" w:ascii="宋体" w:hAnsi="宋体" w:eastAsia="宋体" w:cs="宋体"/>
          <w:sz w:val="28"/>
          <w:szCs w:val="28"/>
        </w:rPr>
        <w:t>年度本公司的环境报告，将公司的环境信息系统透明、真实地传达给公众，以实现企业与社会及利益相关者之间的环境信息交流，进一步履行社会责任和义务，并诚恳接受社会、公众和各级环境管理部门的监督指导。 </w:t>
      </w:r>
    </w:p>
    <w:p>
      <w:pPr>
        <w:widowControl w:val="0"/>
        <w:numPr>
          <w:ilvl w:val="0"/>
          <w:numId w:val="0"/>
        </w:numPr>
        <w:ind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rPr>
        <w:t>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 总经理：</w:t>
      </w:r>
      <w:r>
        <w:rPr>
          <w:rFonts w:hint="eastAsia" w:ascii="宋体" w:hAnsi="宋体" w:eastAsia="宋体" w:cs="宋体"/>
          <w:sz w:val="28"/>
          <w:szCs w:val="28"/>
          <w:lang w:val="en-US" w:eastAsia="zh-CN"/>
        </w:rPr>
        <w:t>刘建荣</w:t>
      </w:r>
    </w:p>
    <w:p>
      <w:pPr>
        <w:widowControl w:val="0"/>
        <w:numPr>
          <w:ilvl w:val="0"/>
          <w:numId w:val="0"/>
        </w:numPr>
        <w:ind w:firstLine="280" w:firstLineChars="100"/>
        <w:jc w:val="both"/>
        <w:rPr>
          <w:rFonts w:hint="eastAsia" w:ascii="宋体" w:hAnsi="宋体" w:eastAsia="宋体" w:cs="宋体"/>
          <w:sz w:val="28"/>
          <w:szCs w:val="28"/>
          <w:lang w:val="en-US" w:eastAsia="zh-CN"/>
        </w:rPr>
      </w:pPr>
    </w:p>
    <w:p>
      <w:pPr>
        <w:widowControl w:val="0"/>
        <w:numPr>
          <w:ilvl w:val="0"/>
          <w:numId w:val="0"/>
        </w:numPr>
        <w:ind w:leftChars="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二、公司概况及编制说明 </w:t>
      </w:r>
    </w:p>
    <w:p>
      <w:pPr>
        <w:widowControl w:val="0"/>
        <w:numPr>
          <w:ilvl w:val="0"/>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（一）、公司概况</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单位名称</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皖东高科（天长）股份有限公司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单位地址</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安徽省天长市珠湖东路88号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注册资本</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贰仟叁佰伍拾捌万元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法定代表人</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刘建荣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公司成立日期</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2007年6月14日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所属行业</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i w:val="0"/>
                <w:caps w:val="0"/>
                <w:color w:val="333333"/>
                <w:spacing w:val="0"/>
                <w:sz w:val="28"/>
                <w:szCs w:val="28"/>
                <w:shd w:val="clear" w:fill="FFFFFF"/>
              </w:rPr>
              <w:t>制造业/化学原料和化学制品制造业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邮政编码</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239300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联系电话</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0550-7321802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经营范围</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苯乙烯系，丙烯酸系、强酸、强碱、弱酸、弱碱、阳、阴离子交换树脂，二甲基酮肟、胶乳系列产品、香蕉水、对苯二甲酸二辛脂生产制造及销售；精细化工中间体生产技术的研发与销售。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企业性质</w:t>
            </w:r>
          </w:p>
        </w:tc>
        <w:tc>
          <w:tcPr>
            <w:tcW w:w="4261" w:type="dxa"/>
          </w:tcPr>
          <w:p>
            <w:pPr>
              <w:widowControl w:val="0"/>
              <w:numPr>
                <w:ilvl w:val="0"/>
                <w:numId w:val="0"/>
              </w:numPr>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有限责任公司</w:t>
            </w:r>
          </w:p>
        </w:tc>
      </w:tr>
    </w:tbl>
    <w:p>
      <w:pPr>
        <w:numPr>
          <w:ilvl w:val="0"/>
          <w:numId w:val="0"/>
        </w:numPr>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公司主要产品及业务情况</w:t>
      </w:r>
    </w:p>
    <w:p>
      <w:pPr>
        <w:widowControl w:val="0"/>
        <w:numPr>
          <w:ilvl w:val="0"/>
          <w:numId w:val="0"/>
        </w:numPr>
        <w:ind w:leftChars="0"/>
        <w:jc w:val="both"/>
        <w:rPr>
          <w:rFonts w:hint="eastAsia" w:ascii="宋体" w:hAnsi="宋体" w:eastAsia="宋体" w:cs="宋体"/>
          <w:sz w:val="28"/>
          <w:szCs w:val="28"/>
          <w:lang w:val="en-US" w:eastAsia="zh-CN"/>
        </w:rPr>
      </w:pPr>
    </w:p>
    <w:p>
      <w:pPr>
        <w:widowControl w:val="0"/>
        <w:numPr>
          <w:ilvl w:val="0"/>
          <w:numId w:val="0"/>
        </w:numPr>
        <w:ind w:leftChars="0" w:firstLine="560" w:firstLineChars="200"/>
        <w:jc w:val="both"/>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皖东高科（天长）股份有限公司位于安徽省天长市永丰镇，经营范围是</w:t>
      </w:r>
      <w:r>
        <w:rPr>
          <w:rFonts w:hint="eastAsia" w:ascii="宋体" w:hAnsi="宋体" w:eastAsia="宋体" w:cs="宋体"/>
          <w:sz w:val="28"/>
          <w:szCs w:val="28"/>
          <w:vertAlign w:val="baseline"/>
          <w:lang w:val="en-US" w:eastAsia="zh-CN"/>
        </w:rPr>
        <w:t>苯乙烯系，丙烯酸系、强酸、强碱、弱酸、弱碱、阳、阴离子交换树脂，二甲基酮肟、胶乳系列产品、香蕉水、对苯二甲酸二辛脂生产制造及销售；精细化工中间体生产技术的研发与销售。</w:t>
      </w:r>
    </w:p>
    <w:p>
      <w:pPr>
        <w:widowControl w:val="0"/>
        <w:numPr>
          <w:ilvl w:val="0"/>
          <w:numId w:val="0"/>
        </w:numPr>
        <w:ind w:leftChars="0"/>
        <w:jc w:val="both"/>
        <w:rPr>
          <w:rFonts w:hint="eastAsia" w:ascii="宋体" w:hAnsi="宋体" w:eastAsia="宋体" w:cs="宋体"/>
          <w:sz w:val="28"/>
          <w:szCs w:val="28"/>
          <w:vertAlign w:val="baseline"/>
          <w:lang w:val="en-US" w:eastAsia="zh-CN"/>
        </w:rPr>
        <w:sectPr>
          <w:pgSz w:w="11906" w:h="16838"/>
          <w:pgMar w:top="1440" w:right="1800" w:bottom="1440" w:left="1800" w:header="851" w:footer="992" w:gutter="0"/>
          <w:cols w:space="425" w:num="1"/>
          <w:docGrid w:type="lines" w:linePitch="312" w:charSpace="0"/>
        </w:sectPr>
      </w:pP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2、公司结构情况</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公司内部组织结构图</w:t>
      </w:r>
    </w:p>
    <w:p>
      <w:pPr>
        <w:widowControl w:val="0"/>
        <w:numPr>
          <w:numId w:val="0"/>
        </w:numPr>
        <w:ind w:leftChars="0"/>
        <w:jc w:val="both"/>
        <w:rPr>
          <w:rFonts w:hint="default"/>
          <w:lang w:val="en-US" w:eastAsia="zh-CN"/>
        </w:rPr>
      </w:pPr>
      <w:r>
        <w:rPr>
          <w:rFonts w:hint="default"/>
          <w:lang w:val="en-US" w:eastAsia="zh-CN"/>
        </w:rPr>
        <w:drawing>
          <wp:inline distT="0" distB="0" distL="114300" distR="114300">
            <wp:extent cx="6322695" cy="3919220"/>
            <wp:effectExtent l="0" t="0" r="1905" b="508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6322695" cy="3919220"/>
                    </a:xfrm>
                    <a:prstGeom prst="rect">
                      <a:avLst/>
                    </a:prstGeom>
                  </pic:spPr>
                </pic:pic>
              </a:graphicData>
            </a:graphic>
          </wp:inline>
        </w:drawing>
      </w:r>
    </w:p>
    <w:p>
      <w:pPr>
        <w:widowControl w:val="0"/>
        <w:numPr>
          <w:numId w:val="0"/>
        </w:numPr>
        <w:ind w:leftChars="0"/>
        <w:jc w:val="both"/>
        <w:rPr>
          <w:rFonts w:hint="default"/>
          <w:lang w:val="en-US" w:eastAsia="zh-CN"/>
        </w:rPr>
      </w:pP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公司各部门职责</w:t>
      </w:r>
    </w:p>
    <w:p>
      <w:pPr>
        <w:widowControl w:val="0"/>
        <w:numPr>
          <w:ilvl w:val="0"/>
          <w:numId w:val="6"/>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总经理岗位职责</w:t>
      </w:r>
    </w:p>
    <w:p>
      <w:pPr>
        <w:widowControl w:val="0"/>
        <w:numPr>
          <w:numId w:val="0"/>
        </w:numPr>
        <w:ind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 负责公司安全生产、环境保护、规章制度等执行监督检查等工作。负责公司行政执行、会务组织、来访接待、公司印章和证照管理等一般行政工作；负责企业文化建设、宣传、法务支持等企业规划工作。</w:t>
      </w:r>
    </w:p>
    <w:p>
      <w:pPr>
        <w:widowControl w:val="0"/>
        <w:numPr>
          <w:ilvl w:val="0"/>
          <w:numId w:val="6"/>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生产部岗位职责 </w:t>
      </w:r>
    </w:p>
    <w:p>
      <w:pPr>
        <w:widowControl w:val="0"/>
        <w:numPr>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负责组织实施公司生产管理、制定生产计划、开展生产调度、加强安全生产教育等工作。</w:t>
      </w:r>
    </w:p>
    <w:p>
      <w:pPr>
        <w:widowControl w:val="0"/>
        <w:numPr>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 3、行政部岗位职责</w:t>
      </w:r>
    </w:p>
    <w:p>
      <w:pPr>
        <w:widowControl w:val="0"/>
        <w:numPr>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负责公司财务管理工作；负责公司各项税费缴纳工作；负责接受审计、税务等有关上级主管部门的财务工作检查及指导；负责公司经营业务的收支和结算工作；负责公司日常经营所需的资金调度和管理等工作；负责公司员工招聘及培训、员工考勤及考核、员工信息及劳动合同管理等人事劳资工作；负责办公用品采购管理、厂区卫生绿化等内务后勤工作。</w:t>
      </w:r>
    </w:p>
    <w:p>
      <w:pPr>
        <w:widowControl w:val="0"/>
        <w:numPr>
          <w:ilvl w:val="0"/>
          <w:numId w:val="7"/>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、报告编制说明</w:t>
      </w:r>
    </w:p>
    <w:p>
      <w:pPr>
        <w:widowControl w:val="0"/>
        <w:numPr>
          <w:ilvl w:val="0"/>
          <w:numId w:val="8"/>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报告涵盖的范围  </w:t>
      </w:r>
    </w:p>
    <w:p>
      <w:pPr>
        <w:widowControl w:val="0"/>
        <w:numPr>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2019 年度环境报告是公司按照新《环境保护法》 “信息公开与公众参与 ”及《企业环境报告书编制导则》的要求，结合地方有关法律法规，在年度环境报告中持续公开环境保护信息 ，接受社会监督。</w:t>
      </w:r>
    </w:p>
    <w:p>
      <w:pPr>
        <w:widowControl w:val="0"/>
        <w:numPr>
          <w:ilvl w:val="0"/>
          <w:numId w:val="8"/>
        </w:numPr>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报告时限  </w:t>
      </w:r>
    </w:p>
    <w:p>
      <w:pPr>
        <w:widowControl w:val="0"/>
        <w:numPr>
          <w:numId w:val="0"/>
        </w:numPr>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 本报告的报告时限是 2019 年 1 月 1 日 ——2019年 12 月 31 日。 </w:t>
      </w:r>
    </w:p>
    <w:p>
      <w:pPr>
        <w:widowControl w:val="0"/>
        <w:numPr>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3、报告编制依据  </w:t>
      </w:r>
    </w:p>
    <w:p>
      <w:pPr>
        <w:widowControl w:val="0"/>
        <w:numPr>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本报告书根据新修订的《环境保护法》、国家环境保护部《企业事业单位环境信息公开办法》、和《企业环境报告书编制导则》中的相关要求编制。</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4、发布方式 </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本报告书由皖东高科（天长）股份有限公司在公司网站上发布。 </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5、编制部门及联系方式 </w:t>
      </w:r>
    </w:p>
    <w:p>
      <w:pPr>
        <w:widowControl w:val="0"/>
        <w:numPr>
          <w:numId w:val="0"/>
        </w:numPr>
        <w:ind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编制部门：皖东高科（天长）股份有限公司安全环保部      </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   联系电话：0550-7322858</w:t>
      </w:r>
    </w:p>
    <w:p>
      <w:pPr>
        <w:widowControl w:val="0"/>
        <w:numPr>
          <w:numId w:val="0"/>
        </w:numPr>
        <w:ind w:leftChars="0"/>
        <w:jc w:val="both"/>
        <w:rPr>
          <w:rFonts w:hint="eastAsia" w:ascii="宋体" w:hAnsi="宋体" w:eastAsia="宋体" w:cs="宋体"/>
          <w:b/>
          <w:bCs/>
          <w:sz w:val="32"/>
          <w:szCs w:val="32"/>
          <w:lang w:val="en-US" w:eastAsia="zh-CN"/>
        </w:rPr>
      </w:pPr>
      <w:r>
        <w:rPr>
          <w:rFonts w:hint="eastAsia" w:ascii="宋体" w:hAnsi="宋体" w:eastAsia="宋体" w:cs="宋体"/>
          <w:sz w:val="28"/>
          <w:szCs w:val="28"/>
          <w:lang w:val="en-US" w:eastAsia="zh-CN"/>
        </w:rPr>
        <w:t> </w:t>
      </w:r>
      <w:r>
        <w:rPr>
          <w:rFonts w:hint="eastAsia" w:ascii="宋体" w:hAnsi="宋体" w:eastAsia="宋体" w:cs="宋体"/>
          <w:b/>
          <w:bCs/>
          <w:sz w:val="32"/>
          <w:szCs w:val="32"/>
          <w:lang w:val="en-US" w:eastAsia="zh-CN"/>
        </w:rPr>
        <w:t>三、环境管理状况</w:t>
      </w:r>
    </w:p>
    <w:p>
      <w:pPr>
        <w:widowControl w:val="0"/>
        <w:numPr>
          <w:ilvl w:val="0"/>
          <w:numId w:val="9"/>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、环境管理体制及措施 </w:t>
      </w:r>
    </w:p>
    <w:p>
      <w:pPr>
        <w:widowControl w:val="0"/>
        <w:numPr>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1、环境管理体制和制度 公司设有安全环保科，负责企业内部的环境保护管理相关工作，公司成立以总经理为组长的环保领导小组，任命了公司环保督察员。公司还编制了一系列的环境管理文件，具体制定有《企业环保管理制度》、《从业人员培训制度》、《环境安全隐患排查治理制度》等，使公司环境管理有依据，工作有程序，监督有保障。 </w:t>
      </w:r>
    </w:p>
    <w:p>
      <w:pPr>
        <w:widowControl w:val="0"/>
        <w:numPr>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公司将安全环保作为生产经营工作的前提，总经理负责公司环境保护工作的统筹和管理，研究协调环境保护工作中的重大问题。公司制定了相关工作制度，每个季度至少召开一次安全环保委员会会议，会议总结前期公司环境保护主要工作情况，研究和部署下一步环境保护计划和措施。</w:t>
      </w:r>
    </w:p>
    <w:p>
      <w:pPr>
        <w:widowControl w:val="0"/>
        <w:numPr>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根据各部门实际情况，建立了系统完善的考核制度体系，并与各岗位职工签订了目标责任书，确定节能减排指标与部门绩效责任制考核、与部门负责人工作绩效考核挂钩，将考核指标层层分解，落实到具体责任人，奖罚分明，落到实处。</w:t>
      </w:r>
    </w:p>
    <w:p>
      <w:pPr>
        <w:widowControl w:val="0"/>
        <w:numPr>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2、开展环保相关教育及培训情况 我公司非常重视环保管理规范及各环保相关岗位管理人员的培训。公司以国家相关法律法规、环境管理体系及公司内部环境管理文件为依据，要求各环保相关岗位管理人员定期学习，并将学习效果纳入岗位考核，保障环保设施的稳定运行，提高相关岗位人员的专业技能和管理水平。</w:t>
      </w:r>
    </w:p>
    <w:p>
      <w:pPr>
        <w:widowControl w:val="0"/>
        <w:numPr>
          <w:ilvl w:val="0"/>
          <w:numId w:val="9"/>
        </w:numPr>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、环境信息公开及交流信息</w:t>
      </w:r>
    </w:p>
    <w:p>
      <w:pPr>
        <w:widowControl w:val="0"/>
        <w:numPr>
          <w:ilvl w:val="0"/>
          <w:numId w:val="1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环境信息公开方式</w:t>
      </w:r>
    </w:p>
    <w:p>
      <w:pPr>
        <w:widowControl w:val="0"/>
        <w:numPr>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按照国家有关环境信息公开的法律法规，公司环保信息公开力度也逐步提升，建立了对自行监测数据、重要环保事项及时公开的环境信息披露体系。公司自2017年起，连续三年发布向社会公开自行监测信息。</w:t>
      </w:r>
    </w:p>
    <w:p>
      <w:pPr>
        <w:widowControl w:val="0"/>
        <w:numPr>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2、与利益相关者进行环境信息交流情况</w:t>
      </w:r>
    </w:p>
    <w:p>
      <w:pPr>
        <w:widowControl w:val="0"/>
        <w:numPr>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创建环境友好型企业，公司管理层经常以上门征求意见、座谈、电话问询、邀请来公司考察、外出取经等多种形式同同行业先进企业、环保技术科研单位、行业主管部门、环保行政管理等单位进行环境保护信息咨询和交流，多方听取收集意见，不断提高和改善企业的环保管理水平。</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3、公众对企业环境信息公开的评价 </w:t>
      </w:r>
    </w:p>
    <w:p>
      <w:pPr>
        <w:widowControl w:val="0"/>
        <w:numPr>
          <w:numId w:val="0"/>
        </w:numPr>
        <w:ind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在同同行业先进企业、环保技术科研单位、行业主管部门、环保行政管理等单位进行环境保护信息咨询和交流的过程中，我们得到了很多的启发和收益，同时我们虚心学习不断完善自我的态度也受到了利益相关单位的赞扬。</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 （三）、相关法律法规执行情况</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1、最近3年生产经营未发生重大污染事故及存在的环境违法行为情况（包括受到环境行政处罚或者处理情况） 我公司自生产以来遵守国家和地方有关环境保护的法律法规和政策要求，核查时段内未发生重大及以上环境污染事故或重大生态破坏事件，未被责令限期治理、限产限排或停产整治，未受到环境保护部或省级环保部门处罚。</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 2、环境检测及评价 2019年每个季度接受一次市环境监测站的监督性监测，污水排放符合进入开发区污水处理厂接管水质要求（接管标准）：水质COD≤500mg/l、氨氮≤45mg/l、PH=6-9。</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 3、环境突发事件应急预案及应急处理措施</w:t>
      </w:r>
    </w:p>
    <w:p>
      <w:pPr>
        <w:widowControl w:val="0"/>
        <w:numPr>
          <w:numId w:val="0"/>
        </w:numPr>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A、应急预案</w:t>
      </w:r>
    </w:p>
    <w:p>
      <w:pPr>
        <w:widowControl w:val="0"/>
        <w:numPr>
          <w:numId w:val="0"/>
        </w:numPr>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了在突发环境污染事故发生后及时予以控制，防止事故蔓延，有效地组织抢险和救助，将事故危害降到最低，同时警戒企业防微杜渐，我厂从企业自身安全生产、保护环境的目标出发，组织编制《皖东高科（天长）股份有限公司突发环境事件应急预案》。以实现一旦有环境污染事故发生，企业即可按照本应急预案所提出的程序和操作方法，紧张有序的实施救援，最大限度的减少人员伤亡和财产损失，维护社会稳定，保护生态环境。</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企业的应急组织体系主要由应急指挥中心、应急响应组组成。应急响应组具体包括：现场指挥组、应急救援组、医疗救护组、应急通讯组、应急后勤组、应急检测组。</w:t>
      </w:r>
    </w:p>
    <w:p>
      <w:pPr>
        <w:widowControl w:val="0"/>
        <w:numPr>
          <w:numId w:val="0"/>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本应急预案适用于皖东高科（天长）股份有限公司区域内可能发生或者已经发生的，需要由企业负责处置或者参与处置的重大、较大、一般突发环境事件的应对工作。具体包括：</w:t>
      </w:r>
    </w:p>
    <w:p>
      <w:pPr>
        <w:widowControl w:val="0"/>
        <w:numPr>
          <w:ilvl w:val="0"/>
          <w:numId w:val="11"/>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生产过程中由于长时间停水、停电、设备故障等突发事件造成城市污水处理厂出水严重不达标的污染事故; </w:t>
      </w:r>
    </w:p>
    <w:p>
      <w:pPr>
        <w:widowControl w:val="0"/>
        <w:numPr>
          <w:ilvl w:val="0"/>
          <w:numId w:val="11"/>
        </w:numPr>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暴雨、高温、低寒、雷击等气象因素引发的自然灾害对设备设施、构筑物破坏导致污水超标排放环境危险;  </w:t>
      </w:r>
    </w:p>
    <w:p>
      <w:pPr>
        <w:widowControl w:val="0"/>
        <w:numPr>
          <w:ilvl w:val="0"/>
          <w:numId w:val="11"/>
        </w:numPr>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原辅材料、产品的储存、使用以及运输环节产生的环境危险；</w:t>
      </w:r>
    </w:p>
    <w:p>
      <w:pPr>
        <w:widowControl w:val="0"/>
        <w:numPr>
          <w:ilvl w:val="0"/>
          <w:numId w:val="12"/>
        </w:numPr>
        <w:ind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应急处理措施</w:t>
      </w:r>
    </w:p>
    <w:p>
      <w:pPr>
        <w:widowControl w:val="0"/>
        <w:numPr>
          <w:numId w:val="0"/>
        </w:numPr>
        <w:ind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尽快切断污染源，迅速了解事发地的污染情况，针对不同的突发环境事故，第一时间按照事故应急处理措施处置，在事故超出部门能力范围时，请求公司应急指挥中心组织救援，同时部门采取必要的措施预防和阻止事故进一步扩大。</w:t>
      </w:r>
    </w:p>
    <w:p>
      <w:pPr>
        <w:widowControl w:val="0"/>
        <w:numPr>
          <w:ilvl w:val="0"/>
          <w:numId w:val="12"/>
        </w:numPr>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应急预案落实情况  </w:t>
      </w:r>
    </w:p>
    <w:p>
      <w:pPr>
        <w:widowControl w:val="0"/>
        <w:numPr>
          <w:numId w:val="0"/>
        </w:numPr>
        <w:ind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我公司制定的《突发环境事件应急预案》已通过了市环保部门组织的专家评审，并已报送市生态环境分局备案。 </w:t>
      </w:r>
    </w:p>
    <w:p>
      <w:pPr>
        <w:widowControl w:val="0"/>
        <w:numPr>
          <w:ilvl w:val="0"/>
          <w:numId w:val="13"/>
        </w:numPr>
        <w:ind w:left="105" w:leftChars="0" w:firstLine="0" w:firstLine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环保目标 </w:t>
      </w:r>
    </w:p>
    <w:p>
      <w:pPr>
        <w:widowControl w:val="0"/>
        <w:numPr>
          <w:numId w:val="0"/>
        </w:numPr>
        <w:ind w:left="105"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 1、污染物达标排放情况 重点污染物监测  </w:t>
      </w:r>
    </w:p>
    <w:p>
      <w:pPr>
        <w:widowControl w:val="0"/>
        <w:numPr>
          <w:numId w:val="0"/>
        </w:numPr>
        <w:ind w:left="105"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公司建立了相关制度对重点污染物进行监测， 实现环境监测数据和资料管理的制度化，确保了监测数据的准确性和有效性。公司于2019年1月制定了年度自行监测方案，委托监测每季一次，要求受委托方为有符合国家相关资质的单位承担以保障监测数据的准确性和有效性。</w:t>
      </w:r>
    </w:p>
    <w:p>
      <w:pPr>
        <w:widowControl w:val="0"/>
        <w:numPr>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委托监测单位为安徽基越环境检测有限责任公司，委托监测内容有组织废气、无组织废气、废水等。根据监测结果可知，公司 2019年度主要污染物排放均达到现正执行的排放标准，无超标情况发生。</w:t>
      </w:r>
    </w:p>
    <w:p>
      <w:pPr>
        <w:widowControl w:val="0"/>
        <w:numPr>
          <w:numId w:val="0"/>
        </w:numPr>
        <w:ind w:left="105" w:leftChars="0" w:firstLine="280" w:firstLineChars="100"/>
        <w:jc w:val="both"/>
        <w:rPr>
          <w:rFonts w:hint="eastAsia" w:ascii="宋体" w:hAnsi="宋体" w:eastAsia="宋体" w:cs="宋体"/>
          <w:sz w:val="28"/>
          <w:szCs w:val="28"/>
          <w:lang w:val="en-US" w:eastAsia="zh-CN"/>
        </w:rPr>
      </w:pPr>
    </w:p>
    <w:p>
      <w:pPr>
        <w:widowControl w:val="0"/>
        <w:numPr>
          <w:numId w:val="0"/>
        </w:numPr>
        <w:ind w:left="105" w:leftChars="0" w:firstLine="280" w:firstLineChars="100"/>
        <w:jc w:val="left"/>
        <w:rPr>
          <w:rFonts w:hint="default"/>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8"/>
          <w:szCs w:val="28"/>
          <w:lang w:val="en-US" w:eastAsia="zh-CN"/>
        </w:rPr>
        <w:t>检测结果如下：</w:t>
      </w:r>
      <w:r>
        <w:rPr>
          <w:rFonts w:hint="default"/>
          <w:lang w:val="en-US" w:eastAsia="zh-CN"/>
        </w:rPr>
        <w:drawing>
          <wp:inline distT="0" distB="0" distL="114300" distR="114300">
            <wp:extent cx="5268595" cy="7448550"/>
            <wp:effectExtent l="0" t="0" r="8255" b="0"/>
            <wp:docPr id="9" name="图片 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4"/>
                    <pic:cNvPicPr>
                      <a:picLocks noChangeAspect="1"/>
                    </pic:cNvPicPr>
                  </pic:nvPicPr>
                  <pic:blipFill>
                    <a:blip r:embed="rId5"/>
                    <a:stretch>
                      <a:fillRect/>
                    </a:stretch>
                  </pic:blipFill>
                  <pic:spPr>
                    <a:xfrm>
                      <a:off x="0" y="0"/>
                      <a:ext cx="5268595" cy="7448550"/>
                    </a:xfrm>
                    <a:prstGeom prst="rect">
                      <a:avLst/>
                    </a:prstGeom>
                  </pic:spPr>
                </pic:pic>
              </a:graphicData>
            </a:graphic>
          </wp:inline>
        </w:drawing>
      </w:r>
      <w:r>
        <w:rPr>
          <w:rFonts w:hint="default"/>
          <w:lang w:val="en-US" w:eastAsia="zh-CN"/>
        </w:rPr>
        <w:drawing>
          <wp:inline distT="0" distB="0" distL="114300" distR="114300">
            <wp:extent cx="5268595" cy="7448550"/>
            <wp:effectExtent l="0" t="0" r="8255" b="0"/>
            <wp:docPr id="8" name="图片 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5"/>
                    <pic:cNvPicPr>
                      <a:picLocks noChangeAspect="1"/>
                    </pic:cNvPicPr>
                  </pic:nvPicPr>
                  <pic:blipFill>
                    <a:blip r:embed="rId6"/>
                    <a:stretch>
                      <a:fillRect/>
                    </a:stretch>
                  </pic:blipFill>
                  <pic:spPr>
                    <a:xfrm>
                      <a:off x="0" y="0"/>
                      <a:ext cx="5268595" cy="7448550"/>
                    </a:xfrm>
                    <a:prstGeom prst="rect">
                      <a:avLst/>
                    </a:prstGeom>
                  </pic:spPr>
                </pic:pic>
              </a:graphicData>
            </a:graphic>
          </wp:inline>
        </w:drawing>
      </w:r>
      <w:r>
        <w:rPr>
          <w:rFonts w:hint="default"/>
          <w:lang w:val="en-US" w:eastAsia="zh-CN"/>
        </w:rPr>
        <w:drawing>
          <wp:inline distT="0" distB="0" distL="114300" distR="114300">
            <wp:extent cx="5268595" cy="7448550"/>
            <wp:effectExtent l="0" t="0" r="8255" b="0"/>
            <wp:docPr id="7" name="图片 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6"/>
                    <pic:cNvPicPr>
                      <a:picLocks noChangeAspect="1"/>
                    </pic:cNvPicPr>
                  </pic:nvPicPr>
                  <pic:blipFill>
                    <a:blip r:embed="rId7"/>
                    <a:stretch>
                      <a:fillRect/>
                    </a:stretch>
                  </pic:blipFill>
                  <pic:spPr>
                    <a:xfrm>
                      <a:off x="0" y="0"/>
                      <a:ext cx="5268595" cy="7448550"/>
                    </a:xfrm>
                    <a:prstGeom prst="rect">
                      <a:avLst/>
                    </a:prstGeom>
                  </pic:spPr>
                </pic:pic>
              </a:graphicData>
            </a:graphic>
          </wp:inline>
        </w:drawing>
      </w:r>
      <w:r>
        <w:rPr>
          <w:rFonts w:hint="default"/>
          <w:lang w:val="en-US" w:eastAsia="zh-CN"/>
        </w:rPr>
        <w:drawing>
          <wp:inline distT="0" distB="0" distL="114300" distR="114300">
            <wp:extent cx="5268595" cy="7448550"/>
            <wp:effectExtent l="0" t="0" r="8255" b="0"/>
            <wp:docPr id="6" name="图片 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7"/>
                    <pic:cNvPicPr>
                      <a:picLocks noChangeAspect="1"/>
                    </pic:cNvPicPr>
                  </pic:nvPicPr>
                  <pic:blipFill>
                    <a:blip r:embed="rId8"/>
                    <a:stretch>
                      <a:fillRect/>
                    </a:stretch>
                  </pic:blipFill>
                  <pic:spPr>
                    <a:xfrm>
                      <a:off x="0" y="0"/>
                      <a:ext cx="5268595" cy="7448550"/>
                    </a:xfrm>
                    <a:prstGeom prst="rect">
                      <a:avLst/>
                    </a:prstGeom>
                  </pic:spPr>
                </pic:pic>
              </a:graphicData>
            </a:graphic>
          </wp:inline>
        </w:drawing>
      </w:r>
      <w:r>
        <w:rPr>
          <w:rFonts w:hint="default"/>
          <w:lang w:val="en-US" w:eastAsia="zh-CN"/>
        </w:rPr>
        <w:drawing>
          <wp:inline distT="0" distB="0" distL="114300" distR="114300">
            <wp:extent cx="5268595" cy="7448550"/>
            <wp:effectExtent l="0" t="0" r="8255" b="0"/>
            <wp:docPr id="5" name="图片 5"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8"/>
                    <pic:cNvPicPr>
                      <a:picLocks noChangeAspect="1"/>
                    </pic:cNvPicPr>
                  </pic:nvPicPr>
                  <pic:blipFill>
                    <a:blip r:embed="rId9"/>
                    <a:stretch>
                      <a:fillRect/>
                    </a:stretch>
                  </pic:blipFill>
                  <pic:spPr>
                    <a:xfrm>
                      <a:off x="0" y="0"/>
                      <a:ext cx="5268595" cy="7448550"/>
                    </a:xfrm>
                    <a:prstGeom prst="rect">
                      <a:avLst/>
                    </a:prstGeom>
                  </pic:spPr>
                </pic:pic>
              </a:graphicData>
            </a:graphic>
          </wp:inline>
        </w:drawing>
      </w:r>
      <w:r>
        <w:rPr>
          <w:rFonts w:hint="default"/>
          <w:lang w:val="en-US" w:eastAsia="zh-CN"/>
        </w:rPr>
        <w:drawing>
          <wp:inline distT="0" distB="0" distL="114300" distR="114300">
            <wp:extent cx="5268595" cy="7448550"/>
            <wp:effectExtent l="0" t="0" r="8255" b="0"/>
            <wp:docPr id="4" name="图片 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9"/>
                    <pic:cNvPicPr>
                      <a:picLocks noChangeAspect="1"/>
                    </pic:cNvPicPr>
                  </pic:nvPicPr>
                  <pic:blipFill>
                    <a:blip r:embed="rId10"/>
                    <a:stretch>
                      <a:fillRect/>
                    </a:stretch>
                  </pic:blipFill>
                  <pic:spPr>
                    <a:xfrm>
                      <a:off x="0" y="0"/>
                      <a:ext cx="5268595" cy="7448550"/>
                    </a:xfrm>
                    <a:prstGeom prst="rect">
                      <a:avLst/>
                    </a:prstGeom>
                  </pic:spPr>
                </pic:pic>
              </a:graphicData>
            </a:graphic>
          </wp:inline>
        </w:drawing>
      </w:r>
      <w:r>
        <w:rPr>
          <w:rFonts w:hint="default"/>
          <w:lang w:val="en-US" w:eastAsia="zh-CN"/>
        </w:rPr>
        <w:drawing>
          <wp:inline distT="0" distB="0" distL="114300" distR="114300">
            <wp:extent cx="5268595" cy="7448550"/>
            <wp:effectExtent l="0" t="0" r="8255" b="0"/>
            <wp:docPr id="3" name="图片 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0"/>
                    <pic:cNvPicPr>
                      <a:picLocks noChangeAspect="1"/>
                    </pic:cNvPicPr>
                  </pic:nvPicPr>
                  <pic:blipFill>
                    <a:blip r:embed="rId11"/>
                    <a:stretch>
                      <a:fillRect/>
                    </a:stretch>
                  </pic:blipFill>
                  <pic:spPr>
                    <a:xfrm>
                      <a:off x="0" y="0"/>
                      <a:ext cx="5268595" cy="7448550"/>
                    </a:xfrm>
                    <a:prstGeom prst="rect">
                      <a:avLst/>
                    </a:prstGeom>
                  </pic:spPr>
                </pic:pic>
              </a:graphicData>
            </a:graphic>
          </wp:inline>
        </w:drawing>
      </w:r>
      <w:r>
        <w:rPr>
          <w:rFonts w:hint="default"/>
          <w:lang w:val="en-US" w:eastAsia="zh-CN"/>
        </w:rPr>
        <w:drawing>
          <wp:inline distT="0" distB="0" distL="114300" distR="114300">
            <wp:extent cx="5268595" cy="7448550"/>
            <wp:effectExtent l="0" t="0" r="8255" b="0"/>
            <wp:docPr id="2" name="图片 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1"/>
                    <pic:cNvPicPr>
                      <a:picLocks noChangeAspect="1"/>
                    </pic:cNvPicPr>
                  </pic:nvPicPr>
                  <pic:blipFill>
                    <a:blip r:embed="rId12"/>
                    <a:stretch>
                      <a:fillRect/>
                    </a:stretch>
                  </pic:blipFill>
                  <pic:spPr>
                    <a:xfrm>
                      <a:off x="0" y="0"/>
                      <a:ext cx="5268595" cy="7448550"/>
                    </a:xfrm>
                    <a:prstGeom prst="rect">
                      <a:avLst/>
                    </a:prstGeom>
                  </pic:spPr>
                </pic:pic>
              </a:graphicData>
            </a:graphic>
          </wp:inline>
        </w:drawing>
      </w:r>
    </w:p>
    <w:p>
      <w:pPr>
        <w:widowControl w:val="0"/>
        <w:numPr>
          <w:numId w:val="0"/>
        </w:numPr>
        <w:ind w:left="105"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2、固体废物处置情况</w:t>
      </w:r>
    </w:p>
    <w:p>
      <w:pPr>
        <w:widowControl w:val="0"/>
        <w:numPr>
          <w:numId w:val="0"/>
        </w:numPr>
        <w:ind w:left="105"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 危险废物</w:t>
      </w:r>
    </w:p>
    <w:p>
      <w:pPr>
        <w:widowControl w:val="0"/>
        <w:numPr>
          <w:numId w:val="0"/>
        </w:numPr>
        <w:ind w:left="105"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 公司产生的危险废物主要是：废水处理污泥、废活性炭、废聚合树脂。 公司高度重视危险废物的有效处置， 20199年5月16日与安徽浩悦环境科技有限责任公司重新签订了长期的处置协议。</w:t>
      </w:r>
    </w:p>
    <w:p>
      <w:pPr>
        <w:widowControl w:val="0"/>
        <w:numPr>
          <w:numId w:val="0"/>
        </w:numPr>
        <w:ind w:left="105"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 3、总量减排任务完成情况 </w:t>
      </w:r>
    </w:p>
    <w:p>
      <w:pPr>
        <w:widowControl w:val="0"/>
        <w:numPr>
          <w:numId w:val="0"/>
        </w:numPr>
        <w:ind w:left="105"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2019年公司圆满完成总量减排任务。</w:t>
      </w:r>
    </w:p>
    <w:p>
      <w:pPr>
        <w:widowControl w:val="0"/>
        <w:numPr>
          <w:numId w:val="0"/>
        </w:numPr>
        <w:ind w:left="105"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 4、排污申报情况 </w:t>
      </w:r>
    </w:p>
    <w:p>
      <w:pPr>
        <w:widowControl w:val="0"/>
        <w:numPr>
          <w:numId w:val="0"/>
        </w:numPr>
        <w:ind w:left="105"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2019年，公司按国家有关环保规定，定期向天长市生态环境分局申报污染物排放量 ，环境保护主管部门向公司进行了核定。</w:t>
      </w:r>
    </w:p>
    <w:p>
      <w:pPr>
        <w:numPr>
          <w:numId w:val="0"/>
        </w:numPr>
        <w:ind w:leftChars="0" w:firstLine="280" w:firstLineChars="1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5、厂界噪声污染状况及主要控制措施</w:t>
      </w:r>
    </w:p>
    <w:p>
      <w:pPr>
        <w:numPr>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公司噪声主要由离心机、空压机、制冷机及各类风机的工作噪声。公司选用低噪声设备，并在风机进口处安装消音设备；空压机基座安装减震垫，以减少噪声。根据公司在2019年7月的检测结果，噪声符合《工业企业厂界环境噪声排放标准》（GB12348-2008）中2类标准限值要求。</w:t>
      </w:r>
    </w:p>
    <w:p>
      <w:pPr>
        <w:widowControl w:val="0"/>
        <w:numPr>
          <w:numId w:val="0"/>
        </w:numPr>
        <w:ind w:left="105" w:leftChars="0" w:firstLine="280" w:firstLineChars="100"/>
        <w:jc w:val="both"/>
        <w:rPr>
          <w:rFonts w:hint="eastAsia" w:ascii="宋体" w:hAnsi="宋体" w:eastAsia="宋体" w:cs="宋体"/>
          <w:sz w:val="28"/>
          <w:szCs w:val="28"/>
          <w:lang w:val="en-US" w:eastAsia="zh-CN"/>
        </w:rPr>
      </w:pPr>
    </w:p>
    <w:p>
      <w:pPr>
        <w:widowControl w:val="0"/>
        <w:numPr>
          <w:numId w:val="0"/>
        </w:numPr>
        <w:ind w:left="105" w:leftChars="0" w:firstLine="321" w:firstLineChars="100"/>
        <w:jc w:val="both"/>
        <w:rPr>
          <w:rFonts w:hint="eastAsia" w:ascii="宋体" w:hAnsi="宋体" w:eastAsia="宋体" w:cs="宋体"/>
          <w:b/>
          <w:bCs/>
          <w:sz w:val="32"/>
          <w:szCs w:val="32"/>
          <w:lang w:val="en-US" w:eastAsia="zh-CN"/>
        </w:rPr>
      </w:pPr>
    </w:p>
    <w:p>
      <w:pPr>
        <w:widowControl w:val="0"/>
        <w:numPr>
          <w:numId w:val="0"/>
        </w:numPr>
        <w:ind w:left="105" w:leftChars="0" w:firstLine="321" w:firstLineChars="100"/>
        <w:jc w:val="both"/>
        <w:rPr>
          <w:rFonts w:hint="eastAsia" w:ascii="宋体" w:hAnsi="宋体" w:eastAsia="宋体" w:cs="宋体"/>
          <w:b/>
          <w:bCs/>
          <w:sz w:val="32"/>
          <w:szCs w:val="32"/>
          <w:lang w:val="en-US" w:eastAsia="zh-CN"/>
        </w:rPr>
      </w:pPr>
    </w:p>
    <w:p>
      <w:pPr>
        <w:widowControl w:val="0"/>
        <w:numPr>
          <w:numId w:val="0"/>
        </w:numPr>
        <w:ind w:left="105" w:leftChars="0" w:firstLine="321" w:firstLineChars="100"/>
        <w:jc w:val="both"/>
        <w:rPr>
          <w:rFonts w:hint="eastAsia" w:ascii="宋体" w:hAnsi="宋体" w:eastAsia="宋体" w:cs="宋体"/>
          <w:b/>
          <w:bCs/>
          <w:sz w:val="32"/>
          <w:szCs w:val="32"/>
          <w:lang w:val="en-US" w:eastAsia="zh-CN"/>
        </w:rPr>
      </w:pPr>
    </w:p>
    <w:p>
      <w:pPr>
        <w:widowControl w:val="0"/>
        <w:numPr>
          <w:numId w:val="0"/>
        </w:numPr>
        <w:ind w:left="105" w:leftChars="0" w:firstLine="321" w:firstLineChars="100"/>
        <w:jc w:val="both"/>
        <w:rPr>
          <w:rFonts w:hint="eastAsia" w:ascii="宋体" w:hAnsi="宋体" w:eastAsia="宋体" w:cs="宋体"/>
          <w:b/>
          <w:bCs/>
          <w:sz w:val="32"/>
          <w:szCs w:val="32"/>
          <w:lang w:val="en-US" w:eastAsia="zh-CN"/>
        </w:rPr>
      </w:pPr>
    </w:p>
    <w:p>
      <w:pPr>
        <w:widowControl w:val="0"/>
        <w:numPr>
          <w:numId w:val="0"/>
        </w:numPr>
        <w:ind w:left="105" w:leftChars="0" w:firstLine="321" w:firstLineChars="100"/>
        <w:jc w:val="both"/>
        <w:rPr>
          <w:rFonts w:hint="eastAsia" w:ascii="宋体" w:hAnsi="宋体" w:eastAsia="宋体" w:cs="宋体"/>
          <w:b/>
          <w:bCs/>
          <w:sz w:val="32"/>
          <w:szCs w:val="32"/>
          <w:lang w:val="en-US" w:eastAsia="zh-CN"/>
        </w:rPr>
      </w:pPr>
    </w:p>
    <w:p>
      <w:pPr>
        <w:widowControl w:val="0"/>
        <w:numPr>
          <w:numId w:val="0"/>
        </w:numPr>
        <w:ind w:left="105" w:leftChars="0" w:firstLine="321" w:firstLineChars="10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 五、降低环境负荷的措施及绩效</w:t>
      </w:r>
    </w:p>
    <w:p>
      <w:pPr>
        <w:widowControl w:val="0"/>
        <w:numPr>
          <w:numId w:val="0"/>
        </w:numPr>
        <w:ind w:left="105" w:leftChars="0"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 皖东高科（天长）股份有限公司</w:t>
      </w:r>
      <w:r>
        <w:rPr>
          <w:rFonts w:hint="eastAsia" w:ascii="宋体" w:hAnsi="宋体" w:eastAsia="宋体" w:cs="宋体"/>
          <w:sz w:val="28"/>
          <w:szCs w:val="28"/>
        </w:rPr>
        <w:t>对原有的污水处理系统进行了彻底的</w:t>
      </w:r>
      <w:r>
        <w:rPr>
          <w:rFonts w:hint="eastAsia" w:ascii="宋体" w:hAnsi="宋体" w:eastAsia="宋体" w:cs="宋体"/>
          <w:sz w:val="28"/>
          <w:szCs w:val="28"/>
          <w:lang w:val="en-US" w:eastAsia="zh-CN"/>
        </w:rPr>
        <w:t>升级</w:t>
      </w:r>
      <w:r>
        <w:rPr>
          <w:rFonts w:hint="eastAsia" w:ascii="宋体" w:hAnsi="宋体" w:eastAsia="宋体" w:cs="宋体"/>
          <w:sz w:val="28"/>
          <w:szCs w:val="28"/>
        </w:rPr>
        <w:t>改造</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在改造之前，我公司采用“厌氧+水解酸化+生物接触氧化+活性炭过滤”的污水处理工艺，达到《污水综合排放标准》（GB8978-1996）中的二级标准直排进入白塔河。近两年我</w:t>
      </w:r>
      <w:r>
        <w:rPr>
          <w:rFonts w:hint="eastAsia" w:ascii="宋体" w:hAnsi="宋体" w:eastAsia="宋体" w:cs="宋体"/>
          <w:sz w:val="28"/>
          <w:szCs w:val="28"/>
        </w:rPr>
        <w:t>公司</w:t>
      </w:r>
      <w:r>
        <w:rPr>
          <w:rFonts w:hint="eastAsia" w:ascii="宋体" w:hAnsi="宋体" w:eastAsia="宋体" w:cs="宋体"/>
          <w:sz w:val="28"/>
          <w:szCs w:val="28"/>
          <w:lang w:val="en-US" w:eastAsia="zh-CN"/>
        </w:rPr>
        <w:t>前后</w:t>
      </w:r>
      <w:r>
        <w:rPr>
          <w:rFonts w:hint="eastAsia" w:ascii="宋体" w:hAnsi="宋体" w:eastAsia="宋体" w:cs="宋体"/>
          <w:sz w:val="28"/>
          <w:szCs w:val="28"/>
        </w:rPr>
        <w:t>投入</w:t>
      </w:r>
      <w:r>
        <w:rPr>
          <w:rFonts w:hint="eastAsia" w:ascii="宋体" w:hAnsi="宋体" w:eastAsia="宋体" w:cs="宋体"/>
          <w:sz w:val="28"/>
          <w:szCs w:val="28"/>
          <w:lang w:val="en-US" w:eastAsia="zh-CN"/>
        </w:rPr>
        <w:t>3000多</w:t>
      </w:r>
      <w:r>
        <w:rPr>
          <w:rFonts w:hint="eastAsia" w:ascii="宋体" w:hAnsi="宋体" w:eastAsia="宋体" w:cs="宋体"/>
          <w:sz w:val="28"/>
          <w:szCs w:val="28"/>
        </w:rPr>
        <w:t>万元对现有污水处理设备装置进行了升级改造，</w:t>
      </w:r>
      <w:r>
        <w:rPr>
          <w:rFonts w:hint="eastAsia" w:ascii="宋体" w:hAnsi="宋体" w:eastAsia="宋体" w:cs="宋体"/>
          <w:sz w:val="28"/>
          <w:szCs w:val="28"/>
          <w:lang w:val="en-US" w:eastAsia="zh-CN"/>
        </w:rPr>
        <w:t>改造后采用“微电解+芬顿+混凝沉淀+三效/MVR蒸发+厌氧+缺氧+好氧+沉淀”的处理工艺，</w:t>
      </w:r>
      <w:r>
        <w:rPr>
          <w:rFonts w:hint="eastAsia" w:ascii="宋体" w:hAnsi="宋体" w:eastAsia="宋体" w:cs="宋体"/>
          <w:sz w:val="28"/>
          <w:szCs w:val="28"/>
        </w:rPr>
        <w:t>将废水进行预处理后，达到接管标准通过泵站送到经开区污水处理厂。</w:t>
      </w:r>
      <w:r>
        <w:rPr>
          <w:rFonts w:hint="eastAsia" w:ascii="宋体" w:hAnsi="宋体" w:eastAsia="宋体" w:cs="宋体"/>
          <w:sz w:val="28"/>
          <w:szCs w:val="28"/>
          <w:lang w:val="en-US" w:eastAsia="zh-CN"/>
        </w:rPr>
        <w:t>对于尾气吸收，邀请了专业的尾气回收单位对车间的尾气吸收装置</w:t>
      </w:r>
      <w:r>
        <w:rPr>
          <w:rFonts w:hint="eastAsia" w:ascii="宋体" w:hAnsi="宋体" w:eastAsia="宋体" w:cs="宋体"/>
          <w:sz w:val="28"/>
          <w:szCs w:val="28"/>
        </w:rPr>
        <w:t>进行了改造升级</w:t>
      </w:r>
      <w:r>
        <w:rPr>
          <w:rFonts w:hint="eastAsia" w:ascii="宋体" w:hAnsi="宋体" w:eastAsia="宋体" w:cs="宋体"/>
          <w:sz w:val="28"/>
          <w:szCs w:val="28"/>
          <w:lang w:eastAsia="zh-CN"/>
        </w:rPr>
        <w:t>，</w:t>
      </w:r>
      <w:r>
        <w:rPr>
          <w:rFonts w:hint="eastAsia" w:ascii="宋体" w:hAnsi="宋体" w:eastAsia="宋体" w:cs="宋体"/>
          <w:sz w:val="28"/>
          <w:szCs w:val="28"/>
        </w:rPr>
        <w:t>工艺尾气处理原来采用一级吸收装置，现工艺尾气处理</w:t>
      </w:r>
      <w:r>
        <w:rPr>
          <w:rFonts w:hint="eastAsia" w:ascii="宋体" w:hAnsi="宋体" w:eastAsia="宋体" w:cs="宋体"/>
          <w:sz w:val="28"/>
          <w:szCs w:val="28"/>
          <w:lang w:val="en-US" w:eastAsia="zh-CN"/>
        </w:rPr>
        <w:t>升级为“</w:t>
      </w:r>
      <w:r>
        <w:rPr>
          <w:rFonts w:hint="eastAsia" w:ascii="宋体" w:hAnsi="宋体" w:eastAsia="宋体" w:cs="宋体"/>
          <w:sz w:val="28"/>
          <w:szCs w:val="28"/>
        </w:rPr>
        <w:t>三级吸收</w:t>
      </w:r>
      <w:r>
        <w:rPr>
          <w:rFonts w:hint="eastAsia" w:ascii="宋体" w:hAnsi="宋体" w:eastAsia="宋体" w:cs="宋体"/>
          <w:sz w:val="28"/>
          <w:szCs w:val="28"/>
          <w:lang w:val="en-US" w:eastAsia="zh-CN"/>
        </w:rPr>
        <w:t>+降膜吸收”装置</w:t>
      </w:r>
      <w:r>
        <w:rPr>
          <w:rFonts w:hint="eastAsia" w:ascii="宋体" w:hAnsi="宋体" w:eastAsia="宋体" w:cs="宋体"/>
          <w:sz w:val="28"/>
          <w:szCs w:val="28"/>
        </w:rPr>
        <w:t>和活性炭过滤技术</w:t>
      </w:r>
      <w:r>
        <w:rPr>
          <w:rFonts w:hint="eastAsia" w:ascii="宋体" w:hAnsi="宋体" w:eastAsia="宋体" w:cs="宋体"/>
          <w:sz w:val="28"/>
          <w:szCs w:val="28"/>
          <w:lang w:eastAsia="zh-CN"/>
        </w:rPr>
        <w:t>。</w:t>
      </w:r>
      <w:r>
        <w:rPr>
          <w:rFonts w:hint="eastAsia" w:ascii="宋体" w:hAnsi="宋体" w:eastAsia="宋体" w:cs="宋体"/>
          <w:sz w:val="28"/>
          <w:szCs w:val="28"/>
        </w:rPr>
        <w:t>管道系统采用了密封性能好的阀门和输送泵，有效的减少了原料在输送过程中的溢散</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并</w:t>
      </w:r>
      <w:r>
        <w:rPr>
          <w:rFonts w:hint="eastAsia" w:ascii="宋体" w:hAnsi="宋体" w:eastAsia="宋体" w:cs="宋体"/>
          <w:sz w:val="28"/>
          <w:szCs w:val="28"/>
        </w:rPr>
        <w:t>定期和不定期检查管道和阀门，如有泄漏，立即采取应急措施</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废气治理得到了有效的控制。</w:t>
      </w:r>
    </w:p>
    <w:p>
      <w:pPr>
        <w:widowControl w:val="0"/>
        <w:numPr>
          <w:numId w:val="0"/>
        </w:numPr>
        <w:ind w:left="105" w:leftChars="0"/>
        <w:jc w:val="both"/>
        <w:rPr>
          <w:rFonts w:hint="eastAsia" w:ascii="宋体" w:hAnsi="宋体" w:eastAsia="宋体" w:cs="宋体"/>
          <w:b/>
          <w:bCs/>
          <w:sz w:val="30"/>
          <w:szCs w:val="30"/>
          <w:lang w:val="en-US" w:eastAsia="zh-CN"/>
        </w:rPr>
      </w:pPr>
    </w:p>
    <w:p>
      <w:pPr>
        <w:widowControl w:val="0"/>
        <w:numPr>
          <w:numId w:val="0"/>
        </w:numPr>
        <w:ind w:left="105" w:leftChars="0"/>
        <w:jc w:val="both"/>
        <w:rPr>
          <w:rFonts w:hint="eastAsia" w:ascii="宋体" w:hAnsi="宋体" w:eastAsia="宋体" w:cs="宋体"/>
          <w:b/>
          <w:bCs/>
          <w:sz w:val="30"/>
          <w:szCs w:val="30"/>
          <w:lang w:val="en-US" w:eastAsia="zh-CN"/>
        </w:rPr>
      </w:pPr>
    </w:p>
    <w:p>
      <w:pPr>
        <w:widowControl w:val="0"/>
        <w:numPr>
          <w:numId w:val="0"/>
        </w:numPr>
        <w:ind w:left="105" w:leftChars="0"/>
        <w:jc w:val="both"/>
        <w:rPr>
          <w:rFonts w:hint="eastAsia" w:ascii="宋体" w:hAnsi="宋体" w:eastAsia="宋体" w:cs="宋体"/>
          <w:b/>
          <w:bCs/>
          <w:sz w:val="30"/>
          <w:szCs w:val="30"/>
          <w:lang w:val="en-US" w:eastAsia="zh-CN"/>
        </w:rPr>
      </w:pPr>
    </w:p>
    <w:p>
      <w:pPr>
        <w:widowControl w:val="0"/>
        <w:numPr>
          <w:numId w:val="0"/>
        </w:numPr>
        <w:ind w:left="105" w:leftChars="0"/>
        <w:jc w:val="both"/>
        <w:rPr>
          <w:rFonts w:hint="eastAsia" w:ascii="宋体" w:hAnsi="宋体" w:eastAsia="宋体" w:cs="宋体"/>
          <w:b/>
          <w:bCs/>
          <w:sz w:val="30"/>
          <w:szCs w:val="30"/>
          <w:lang w:val="en-US" w:eastAsia="zh-CN"/>
        </w:rPr>
      </w:pPr>
    </w:p>
    <w:p>
      <w:pPr>
        <w:widowControl w:val="0"/>
        <w:numPr>
          <w:numId w:val="0"/>
        </w:numPr>
        <w:ind w:left="105" w:leftChars="0"/>
        <w:jc w:val="both"/>
        <w:rPr>
          <w:rFonts w:hint="eastAsia" w:ascii="宋体" w:hAnsi="宋体" w:eastAsia="宋体" w:cs="宋体"/>
          <w:b/>
          <w:bCs/>
          <w:sz w:val="30"/>
          <w:szCs w:val="30"/>
          <w:lang w:val="en-US" w:eastAsia="zh-CN"/>
        </w:rPr>
      </w:pPr>
    </w:p>
    <w:p>
      <w:pPr>
        <w:widowControl w:val="0"/>
        <w:numPr>
          <w:numId w:val="0"/>
        </w:numPr>
        <w:ind w:left="105" w:leftChars="0"/>
        <w:jc w:val="both"/>
        <w:rPr>
          <w:rFonts w:hint="eastAsia" w:ascii="宋体" w:hAnsi="宋体" w:eastAsia="宋体" w:cs="宋体"/>
          <w:b/>
          <w:bCs/>
          <w:sz w:val="30"/>
          <w:szCs w:val="30"/>
          <w:lang w:val="en-US" w:eastAsia="zh-CN"/>
        </w:rPr>
      </w:pPr>
    </w:p>
    <w:p>
      <w:pPr>
        <w:widowControl w:val="0"/>
        <w:numPr>
          <w:numId w:val="0"/>
        </w:numPr>
        <w:ind w:left="105" w:leftChars="0"/>
        <w:jc w:val="both"/>
        <w:rPr>
          <w:rFonts w:hint="eastAsia" w:ascii="宋体" w:hAnsi="宋体" w:eastAsia="宋体" w:cs="宋体"/>
          <w:b/>
          <w:bCs/>
          <w:sz w:val="30"/>
          <w:szCs w:val="30"/>
          <w:lang w:val="en-US" w:eastAsia="zh-CN"/>
        </w:rPr>
      </w:pPr>
    </w:p>
    <w:p>
      <w:pPr>
        <w:widowControl w:val="0"/>
        <w:numPr>
          <w:numId w:val="0"/>
        </w:numPr>
        <w:ind w:left="105" w:leftChars="0"/>
        <w:jc w:val="both"/>
        <w:rPr>
          <w:rFonts w:hint="eastAsia" w:ascii="宋体" w:hAnsi="宋体" w:eastAsia="宋体" w:cs="宋体"/>
          <w:b/>
          <w:bCs/>
          <w:sz w:val="30"/>
          <w:szCs w:val="30"/>
          <w:lang w:val="en-US" w:eastAsia="zh-CN"/>
        </w:rPr>
      </w:pPr>
    </w:p>
    <w:p>
      <w:pPr>
        <w:widowControl w:val="0"/>
        <w:numPr>
          <w:numId w:val="0"/>
        </w:numPr>
        <w:ind w:left="105" w:leftChars="0"/>
        <w:jc w:val="both"/>
        <w:rPr>
          <w:rFonts w:hint="eastAsia" w:ascii="宋体" w:hAnsi="宋体" w:eastAsia="宋体" w:cs="宋体"/>
          <w:b/>
          <w:bCs/>
          <w:sz w:val="30"/>
          <w:szCs w:val="30"/>
          <w:lang w:val="en-US" w:eastAsia="zh-CN"/>
        </w:rPr>
      </w:pPr>
    </w:p>
    <w:p>
      <w:pPr>
        <w:widowControl w:val="0"/>
        <w:numPr>
          <w:numId w:val="0"/>
        </w:numPr>
        <w:ind w:left="105"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六、总结</w:t>
      </w:r>
    </w:p>
    <w:p>
      <w:pPr>
        <w:widowControl w:val="0"/>
        <w:numPr>
          <w:numId w:val="0"/>
        </w:numPr>
        <w:ind w:left="105"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报告参照国家环保部《企业环境报告书编制导则》（HJ617-2011）进行编制，截止2019年底，公司未发生重大环境违法事件。2020年公司将在董事会领导下，继续完善环保规章制度，加强环境保护管理，确保各项污染物达标排放，积极履行环保社会责任。</w:t>
      </w:r>
    </w:p>
    <w:p>
      <w:pPr>
        <w:widowControl w:val="0"/>
        <w:numPr>
          <w:numId w:val="0"/>
        </w:numPr>
        <w:ind w:left="105" w:leftChars="0"/>
        <w:jc w:val="both"/>
        <w:rPr>
          <w:rFonts w:hint="eastAsia" w:ascii="宋体" w:hAnsi="宋体" w:eastAsia="宋体" w:cs="宋体"/>
          <w:sz w:val="28"/>
          <w:szCs w:val="28"/>
          <w:lang w:val="en-US" w:eastAsia="zh-CN"/>
        </w:rPr>
      </w:pPr>
    </w:p>
    <w:p>
      <w:pPr>
        <w:widowControl w:val="0"/>
        <w:numPr>
          <w:numId w:val="0"/>
        </w:numPr>
        <w:ind w:left="105" w:leftChars="0"/>
        <w:jc w:val="both"/>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p>
    <w:p>
      <w:pPr>
        <w:widowControl w:val="0"/>
        <w:numPr>
          <w:numId w:val="0"/>
        </w:numPr>
        <w:ind w:left="105" w:leftChars="0"/>
        <w:jc w:val="right"/>
        <w:rPr>
          <w:rFonts w:hint="eastAsia" w:ascii="宋体" w:hAnsi="宋体" w:eastAsia="宋体" w:cs="宋体"/>
          <w:sz w:val="28"/>
          <w:szCs w:val="28"/>
          <w:lang w:val="en-US" w:eastAsia="zh-CN"/>
        </w:rPr>
      </w:pPr>
      <w:bookmarkStart w:id="0" w:name="_GoBack"/>
      <w:bookmarkEnd w:id="0"/>
      <w:r>
        <w:rPr>
          <w:rFonts w:hint="eastAsia" w:ascii="宋体" w:hAnsi="宋体" w:eastAsia="宋体" w:cs="宋体"/>
          <w:sz w:val="28"/>
          <w:szCs w:val="28"/>
          <w:lang w:val="en-US" w:eastAsia="zh-CN"/>
        </w:rPr>
        <w:t>皖东高科（天长）股份有限公司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B6A598"/>
    <w:multiLevelType w:val="singleLevel"/>
    <w:tmpl w:val="A1B6A598"/>
    <w:lvl w:ilvl="0" w:tentative="0">
      <w:start w:val="1"/>
      <w:numFmt w:val="decimal"/>
      <w:suff w:val="nothing"/>
      <w:lvlText w:val="%1、"/>
      <w:lvlJc w:val="left"/>
    </w:lvl>
  </w:abstractNum>
  <w:abstractNum w:abstractNumId="1">
    <w:nsid w:val="BB08EECA"/>
    <w:multiLevelType w:val="singleLevel"/>
    <w:tmpl w:val="BB08EECA"/>
    <w:lvl w:ilvl="0" w:tentative="0">
      <w:start w:val="1"/>
      <w:numFmt w:val="decimal"/>
      <w:suff w:val="nothing"/>
      <w:lvlText w:val="%1、"/>
      <w:lvlJc w:val="left"/>
    </w:lvl>
  </w:abstractNum>
  <w:abstractNum w:abstractNumId="2">
    <w:nsid w:val="C42271C7"/>
    <w:multiLevelType w:val="singleLevel"/>
    <w:tmpl w:val="C42271C7"/>
    <w:lvl w:ilvl="0" w:tentative="0">
      <w:start w:val="1"/>
      <w:numFmt w:val="decimal"/>
      <w:suff w:val="nothing"/>
      <w:lvlText w:val="（%1）"/>
      <w:lvlJc w:val="left"/>
    </w:lvl>
  </w:abstractNum>
  <w:abstractNum w:abstractNumId="3">
    <w:nsid w:val="C8692151"/>
    <w:multiLevelType w:val="singleLevel"/>
    <w:tmpl w:val="C8692151"/>
    <w:lvl w:ilvl="0" w:tentative="0">
      <w:start w:val="1"/>
      <w:numFmt w:val="chineseCounting"/>
      <w:suff w:val="nothing"/>
      <w:lvlText w:val="%1、"/>
      <w:lvlJc w:val="left"/>
      <w:rPr>
        <w:rFonts w:hint="eastAsia"/>
      </w:rPr>
    </w:lvl>
  </w:abstractNum>
  <w:abstractNum w:abstractNumId="4">
    <w:nsid w:val="CD41BC89"/>
    <w:multiLevelType w:val="singleLevel"/>
    <w:tmpl w:val="CD41BC89"/>
    <w:lvl w:ilvl="0" w:tentative="0">
      <w:start w:val="1"/>
      <w:numFmt w:val="decimal"/>
      <w:suff w:val="nothing"/>
      <w:lvlText w:val="%1、"/>
      <w:lvlJc w:val="left"/>
    </w:lvl>
  </w:abstractNum>
  <w:abstractNum w:abstractNumId="5">
    <w:nsid w:val="EFA65D1F"/>
    <w:multiLevelType w:val="singleLevel"/>
    <w:tmpl w:val="EFA65D1F"/>
    <w:lvl w:ilvl="0" w:tentative="0">
      <w:start w:val="1"/>
      <w:numFmt w:val="decimal"/>
      <w:suff w:val="nothing"/>
      <w:lvlText w:val="%1、"/>
      <w:lvlJc w:val="left"/>
    </w:lvl>
  </w:abstractNum>
  <w:abstractNum w:abstractNumId="6">
    <w:nsid w:val="15063923"/>
    <w:multiLevelType w:val="singleLevel"/>
    <w:tmpl w:val="15063923"/>
    <w:lvl w:ilvl="0" w:tentative="0">
      <w:start w:val="4"/>
      <w:numFmt w:val="chineseCounting"/>
      <w:suff w:val="nothing"/>
      <w:lvlText w:val="%1、"/>
      <w:lvlJc w:val="left"/>
      <w:pPr>
        <w:ind w:left="105" w:leftChars="0" w:firstLine="0" w:firstLineChars="0"/>
      </w:pPr>
      <w:rPr>
        <w:rFonts w:hint="eastAsia"/>
      </w:rPr>
    </w:lvl>
  </w:abstractNum>
  <w:abstractNum w:abstractNumId="7">
    <w:nsid w:val="158516BB"/>
    <w:multiLevelType w:val="singleLevel"/>
    <w:tmpl w:val="158516BB"/>
    <w:lvl w:ilvl="0" w:tentative="0">
      <w:start w:val="2"/>
      <w:numFmt w:val="upperLetter"/>
      <w:suff w:val="nothing"/>
      <w:lvlText w:val="%1、"/>
      <w:lvlJc w:val="left"/>
    </w:lvl>
  </w:abstractNum>
  <w:abstractNum w:abstractNumId="8">
    <w:nsid w:val="25E5262E"/>
    <w:multiLevelType w:val="singleLevel"/>
    <w:tmpl w:val="25E5262E"/>
    <w:lvl w:ilvl="0" w:tentative="0">
      <w:start w:val="1"/>
      <w:numFmt w:val="decimal"/>
      <w:suff w:val="nothing"/>
      <w:lvlText w:val="%1、"/>
      <w:lvlJc w:val="left"/>
    </w:lvl>
  </w:abstractNum>
  <w:abstractNum w:abstractNumId="9">
    <w:nsid w:val="2D40CDBC"/>
    <w:multiLevelType w:val="singleLevel"/>
    <w:tmpl w:val="2D40CDBC"/>
    <w:lvl w:ilvl="0" w:tentative="0">
      <w:start w:val="1"/>
      <w:numFmt w:val="chineseCounting"/>
      <w:suff w:val="nothing"/>
      <w:lvlText w:val="%1、"/>
      <w:lvlJc w:val="left"/>
      <w:rPr>
        <w:rFonts w:hint="eastAsia"/>
      </w:rPr>
    </w:lvl>
  </w:abstractNum>
  <w:abstractNum w:abstractNumId="10">
    <w:nsid w:val="2E47D309"/>
    <w:multiLevelType w:val="singleLevel"/>
    <w:tmpl w:val="2E47D309"/>
    <w:lvl w:ilvl="0" w:tentative="0">
      <w:start w:val="1"/>
      <w:numFmt w:val="chineseCounting"/>
      <w:suff w:val="nothing"/>
      <w:lvlText w:val="（%1）"/>
      <w:lvlJc w:val="left"/>
      <w:rPr>
        <w:rFonts w:hint="eastAsia"/>
      </w:rPr>
    </w:lvl>
  </w:abstractNum>
  <w:abstractNum w:abstractNumId="11">
    <w:nsid w:val="435CE339"/>
    <w:multiLevelType w:val="singleLevel"/>
    <w:tmpl w:val="435CE339"/>
    <w:lvl w:ilvl="0" w:tentative="0">
      <w:start w:val="2"/>
      <w:numFmt w:val="chineseCounting"/>
      <w:suff w:val="nothing"/>
      <w:lvlText w:val="（%1）"/>
      <w:lvlJc w:val="left"/>
      <w:rPr>
        <w:rFonts w:hint="eastAsia"/>
      </w:rPr>
    </w:lvl>
  </w:abstractNum>
  <w:abstractNum w:abstractNumId="12">
    <w:nsid w:val="5C8ECFEF"/>
    <w:multiLevelType w:val="singleLevel"/>
    <w:tmpl w:val="5C8ECFEF"/>
    <w:lvl w:ilvl="0" w:tentative="0">
      <w:start w:val="1"/>
      <w:numFmt w:val="chineseCounting"/>
      <w:suff w:val="nothing"/>
      <w:lvlText w:val="（%1）"/>
      <w:lvlJc w:val="left"/>
      <w:rPr>
        <w:rFonts w:hint="eastAsia"/>
      </w:rPr>
    </w:lvl>
  </w:abstractNum>
  <w:num w:numId="1">
    <w:abstractNumId w:val="3"/>
  </w:num>
  <w:num w:numId="2">
    <w:abstractNumId w:val="12"/>
  </w:num>
  <w:num w:numId="3">
    <w:abstractNumId w:val="5"/>
  </w:num>
  <w:num w:numId="4">
    <w:abstractNumId w:val="1"/>
  </w:num>
  <w:num w:numId="5">
    <w:abstractNumId w:val="9"/>
  </w:num>
  <w:num w:numId="6">
    <w:abstractNumId w:val="0"/>
  </w:num>
  <w:num w:numId="7">
    <w:abstractNumId w:val="11"/>
  </w:num>
  <w:num w:numId="8">
    <w:abstractNumId w:val="8"/>
  </w:num>
  <w:num w:numId="9">
    <w:abstractNumId w:val="10"/>
  </w:num>
  <w:num w:numId="10">
    <w:abstractNumId w:val="4"/>
  </w:num>
  <w:num w:numId="11">
    <w:abstractNumId w:val="2"/>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937C33"/>
    <w:rsid w:val="28937C33"/>
    <w:rsid w:val="41F85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2020-05-15T06:32:00Z</dcterms:created>
  <dc:creator>我心永恒1382668096</dc:creator>
  <cp:lastModifiedBy>我心永恒1382668096</cp:lastModifiedBy>
  <dcterms:modified xsi:type="dcterms:W3CDTF">2020-05-16T08:39:01Z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